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6"/>
        <w:gridCol w:w="3002"/>
        <w:gridCol w:w="1811"/>
        <w:gridCol w:w="1792"/>
        <w:tblGridChange w:id="0">
          <w:tblGrid>
            <w:gridCol w:w="3176"/>
            <w:gridCol w:w="3002"/>
            <w:gridCol w:w="1811"/>
            <w:gridCol w:w="1792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2595"/>
                <w:tab w:val="left" w:pos="3210"/>
              </w:tabs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Stan na dzień sporządzenia prospektu informacyjnego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Data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PROSPEKT INFORMACYJNY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CZĘŚĆ OGÓLNA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I. DANE IDENTYFIKACYJNE I KONTAKTOWE DOTYCZĄCE DEWELOPERA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DANE DEWELOPERA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Deweloper</w:t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60" w:line="276" w:lineRule="auto"/>
              <w:jc w:val="both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NIP i REGON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NIP: 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REGON: 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telefonu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 poczty elektronicznej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faksu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 strony internetowej dewelopera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II. DOŚWIADCZENIE DEWELOPERA</w:t>
            </w:r>
          </w:p>
        </w:tc>
      </w:tr>
      <w:tr>
        <w:trPr>
          <w:cantSplit w:val="0"/>
          <w:trHeight w:val="2206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HISTORIA I UDOKUMENTOWANE DOŚWIADCZENIE DEWELOPERA</w:t>
            </w:r>
          </w:p>
        </w:tc>
      </w:tr>
      <w:tr>
        <w:trPr>
          <w:cantSplit w:val="0"/>
          <w:trHeight w:val="2206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both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PRZYKŁAD UKOŃCZONEGO PRZEDSIĘWZIĘCIA DEWELOPERSKIEGO (należy wskazać (o ile istnieją) trzy ukończone przedsięwzięcia deweloperskie, w tym ostatnie)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6"/>
        <w:gridCol w:w="6605"/>
        <w:tblGridChange w:id="0">
          <w:tblGrid>
            <w:gridCol w:w="3176"/>
            <w:gridCol w:w="6605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Data rozpoczęcia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Data wydania ostatecznego pozwolenia na użytkowanie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PRZYKŁAD INNEGO UKOŃCZONEGO PRZEDSIĘWZIĘCIA DEWELOPERSKIEGO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Data rozpoczęcia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Data wydania ostatecznego pozwolenia na użytkowanie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OSTATNIE UKOŃCZONE PRZEDSIĘWZIĘCIE DEWELOPERSKIE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Data rozpoczęcia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Data wydania ostatecznego pozwolenia na użytkowanie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Czy przeciwko deweloperowi prowadzono (lub prowadzi  się) postępowania egzekucyjne na kwotę powyżej 100 000 zł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3"/>
        <w:gridCol w:w="1095"/>
        <w:gridCol w:w="1425"/>
        <w:gridCol w:w="2776"/>
        <w:gridCol w:w="778"/>
        <w:gridCol w:w="944"/>
        <w:tblGridChange w:id="0">
          <w:tblGrid>
            <w:gridCol w:w="2763"/>
            <w:gridCol w:w="1095"/>
            <w:gridCol w:w="1425"/>
            <w:gridCol w:w="2776"/>
            <w:gridCol w:w="778"/>
            <w:gridCol w:w="944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III. INFORMACJE DOTYCZĄCE NIERUCHOMOŚCI I PRZEDSIĘWZIĘCIA DEWELOPERSKIEGO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INFORMACJE DOTYCZĄCE GRUNTU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 i nr działki ewidencyjnej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księgi wieczystej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Istniejące obciążenia hipoteczne nieruchomości lub wnioski o wpis w dziale czwartym księgi wieczystej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0">
            <w:pPr>
              <w:spacing w:before="3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przypadku braku księgi wieczystej informacja o powierzchni działki i stanie prawnym nieruchomości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Plan zagospodarowania przestrzennego dla sąsiadujących działek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przeznaczenie w planie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dopuszczalna wysokość zabudowy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Lato" w:cs="Lato" w:eastAsia="Lato" w:hAnsi="Lato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dopuszczalny procent zabudowy działki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Informacje zawarte w publicznie dostępnych dokumentach dotyczących przewidzianych inwestycji w promieniu 1 km od przedmiotowej nieruchomości, w szczególności o budowie lub rozbudowie dróg, budowie linii szynowych oraz przewidzianych korytarzach powietrznych, a także znanych innych inwestycjach komunalnych, w szczególności oczyszczalniach ścieków, spalarniach śmieci, wysypiskach, cmentarzach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INFORMACJE DOTYCZĄCE BUDYNKU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Czy jest pozwolenie na budowę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Lato" w:cs="Lato" w:eastAsia="Lato" w:hAnsi="Lato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tak*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Lato" w:cs="Lato" w:eastAsia="Lato" w:hAnsi="Lato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Czy pozwolenie na budowę jest ostateczne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Lato" w:cs="Lato" w:eastAsia="Lato" w:hAnsi="Lato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tak*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Lato" w:cs="Lato" w:eastAsia="Lato" w:hAnsi="Lato"/>
                <w:i w:val="0"/>
                <w:smallCaps w:val="0"/>
                <w:strike w:val="1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nie*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Czy pozwolenie na budowę jest zaskarżone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Lato" w:cs="Lato" w:eastAsia="Lato" w:hAnsi="Lato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tak*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nie*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pozwolenia na budowę oraz nazwa organu, który je wydał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Lato" w:cs="Lato" w:eastAsia="Lato" w:hAnsi="Lato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Planowany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termin rozpoczęcia i zakończenia prac budowlanych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2">
            <w:pPr>
              <w:spacing w:before="3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rozpoczęcie prac budowlanych: ………………….. roku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before="3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zakończenie prac budowlanych: …………………… roku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Termin, do którego nastąpi przeniesienie prawa własności nieruchomości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Opis przedsięwzięcia deweloperskiego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liczba budynków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Rozmieszczenie ich na nieruchomości (należy podać minimalny odstęp pomiędzy budynkami)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2et92p0" w:id="3"/>
            <w:bookmarkEnd w:id="3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Sposób pomiaru powierzchni lokalu mieszkalnego lub domu jednorodzinnego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Zamierzony sposób i procentowy udział źródeł finansowania przedsięwzięcia deweloperskiego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2">
            <w:pPr>
              <w:rPr>
                <w:rFonts w:ascii="Lato" w:cs="Lato" w:eastAsia="Lato" w:hAnsi="Lato"/>
                <w:color w:val="000000"/>
              </w:rPr>
            </w:pPr>
            <w:bookmarkStart w:colFirst="0" w:colLast="0" w:name="_heading=h.lnxbz9" w:id="4"/>
            <w:bookmarkEnd w:id="4"/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Finansowanie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…….</w:t>
            </w: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 ze środków własnych Dewelopera, w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</w:t>
            </w: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 z wpłat od klientów.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Procentowy udział może być zmienny w czasie w zależności od postępu inwestycji i sprzedaży lokali.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Środki ochrony nabywców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Lato" w:cs="Lato" w:eastAsia="Lato" w:hAnsi="Lato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bankowy rachunek powierniczy służący gromadzeniu środków nabywcy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Lato" w:cs="Lato" w:eastAsia="Lato" w:hAnsi="Lato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otwarty*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center"/>
              <w:rPr>
                <w:rFonts w:ascii="Lato" w:cs="Lato" w:eastAsia="Lato" w:hAnsi="Lato"/>
                <w:i w:val="0"/>
                <w:smallCaps w:val="0"/>
                <w:strike w:val="1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vertAlign w:val="baseline"/>
                <w:rtl w:val="0"/>
              </w:rPr>
              <w:t xml:space="preserve">zamknięty*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1"/>
                <w:color w:val="00000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Główne zasady funkcjonowania wybranego rodzaju zabezpieczenia środków nabywcy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Nazwa instytucji zapewniającej bezpieczeństwo środków nabywcy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35nkun2" w:id="5"/>
            <w:bookmarkEnd w:id="5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Harmonogram przedsięwzięcia deweloperskiego, w etapach</w:t>
            </w:r>
          </w:p>
        </w:tc>
        <w:tc>
          <w:tcPr>
            <w:gridSpan w:val="5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6858.0" w:type="dxa"/>
              <w:jc w:val="left"/>
              <w:tblLayout w:type="fixed"/>
              <w:tblLook w:val="0400"/>
            </w:tblPr>
            <w:tblGrid>
              <w:gridCol w:w="3047"/>
              <w:gridCol w:w="1275"/>
              <w:gridCol w:w="1144"/>
              <w:gridCol w:w="1392"/>
              <w:tblGridChange w:id="0">
                <w:tblGrid>
                  <w:gridCol w:w="3047"/>
                  <w:gridCol w:w="1275"/>
                  <w:gridCol w:w="1144"/>
                  <w:gridCol w:w="1392"/>
                </w:tblGrid>
              </w:tblGridChange>
            </w:tblGrid>
            <w:tr>
              <w:trPr>
                <w:cantSplit w:val="0"/>
                <w:trHeight w:val="30" w:hRule="atLeast"/>
                <w:tblHeader w:val="0"/>
              </w:trPr>
              <w:tc>
                <w:tcPr>
                  <w:vMerge w:val="restart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1E">
                  <w:pPr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Etapy realizacji inwestycji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12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Procentowy szacunkowy podział kosztów [%]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12" w:val="single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0">
                  <w:pPr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6" w:hRule="atLeast"/>
                <w:tblHeader w:val="0"/>
              </w:trPr>
              <w:tc>
                <w:tcPr>
                  <w:vMerge w:val="continue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12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Data rozpoczęcia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Data zakończenia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6">
                  <w:pPr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Zakup gruntu i uzyskanie pozwolenia na budowę w oparciu w wykonany projekt budowlany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7">
                  <w:pPr>
                    <w:jc w:val="both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8">
                  <w:pPr>
                    <w:jc w:val="both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9">
                  <w:pPr>
                    <w:jc w:val="center"/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fdfdf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A">
                  <w:pPr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Roboty ziemne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fdfdf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B">
                  <w:pPr>
                    <w:jc w:val="both"/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fdfdf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C">
                  <w:pPr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dfdfdf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D">
                  <w:pPr>
                    <w:jc w:val="center"/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63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E">
                  <w:pPr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Stan zero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2F">
                  <w:pPr>
                    <w:jc w:val="both"/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0">
                  <w:pPr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2">
                  <w:pPr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Stan surowy otwarty - nadziemne kondygnacje - pierwsza i druga - bez ścianek działowych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3">
                  <w:pPr>
                    <w:jc w:val="both"/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4">
                  <w:pPr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6">
                  <w:pPr>
                    <w:rPr>
                      <w:rFonts w:ascii="Lato" w:cs="Lato" w:eastAsia="Lato" w:hAnsi="Lato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Stan surowy otwarty bez dachu, bez ścianek działowych  - wszystkie kondygnacje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7">
                  <w:pPr>
                    <w:jc w:val="both"/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8">
                  <w:pPr>
                    <w:rPr>
                      <w:rFonts w:ascii="Lato" w:cs="Lato" w:eastAsia="Lato" w:hAnsi="Lato"/>
                      <w:highlight w:val="yellow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rFonts w:ascii="Lato" w:cs="Lato" w:eastAsia="Lato" w:hAnsi="Lato"/>
                      <w:color w:val="00000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A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Instalacje wewnętrzne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B">
                  <w:pPr>
                    <w:jc w:val="both"/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C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E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Prace wykończeniowe do stanu deweloperskiego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3F">
                  <w:pPr>
                    <w:jc w:val="both"/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40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auto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41">
                  <w:pPr>
                    <w:jc w:val="center"/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42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Prace wykończeniowe budynku z zewnątrz, elewacje, pokrycie dachowe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43">
                  <w:pPr>
                    <w:jc w:val="both"/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44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12" w:val="single"/>
                  </w:tcBorders>
                  <w:shd w:fill="d9d9d9" w:val="clear"/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  <w:vAlign w:val="center"/>
                </w:tcPr>
                <w:p w:rsidR="00000000" w:rsidDel="00000000" w:rsidP="00000000" w:rsidRDefault="00000000" w:rsidRPr="00000000" w14:paraId="00000145">
                  <w:pPr>
                    <w:jc w:val="center"/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Dopuszczenie waloryzacji ceny oraz określenie zasad waloryzacji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both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WARUNKI ODSTĄPIENIA OD UMOWY DEWELOPERSKIEJ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Należy opisać na jakich warunkach można odstąpić od umowy deweloperskiej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both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INNE INFORMACJE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Informacja o zgodzie banku finansującego przedsięwzięcie deweloperskie lub jego część, bądź finansującego</w:t>
              <w:br w:type="textWrapping"/>
              <w:t xml:space="preserve">działalność dewelopera w przypadku zabezpieczenia kredytu na hipotece nieruchomości, na której jest realizowane</w:t>
              <w:br w:type="textWrapping"/>
              <w:t xml:space="preserve">przedsięwzięcie deweloperskie lub jego część, bądź też finansującego zakup tej nieruchomości lub jej części</w:t>
              <w:br w:type="textWrapping"/>
              <w:t xml:space="preserve">w przypadku równoczesnego ustanowienia zabezpieczenia hipotecznego — na bezobciążeniowe wyodrębnienie</w:t>
              <w:br w:type="textWrapping"/>
              <w:t xml:space="preserve">lokalu mieszkalnego i przeniesienie jego własności albo bezobciążeniowe przeniesienie na nabywcę własności</w:t>
              <w:br w:type="textWrapping"/>
              <w:t xml:space="preserve">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mieszkaniowych: </w:t>
            </w: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nie dotyczy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4">
            <w:pPr>
              <w:spacing w:after="10" w:before="40" w:line="260" w:lineRule="auto"/>
              <w:ind w:left="28" w:right="57" w:firstLine="0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10" w:before="40" w:line="260" w:lineRule="auto"/>
              <w:ind w:left="28" w:right="57" w:firstLine="0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Informacja o możliwości zapoznania się w lokalu przedsiębiorstwa przez osobę zainteresowaną zawarciem umowy deweloperskiej z:</w:t>
            </w:r>
          </w:p>
          <w:p w:rsidR="00000000" w:rsidDel="00000000" w:rsidP="00000000" w:rsidRDefault="00000000" w:rsidRPr="00000000" w14:paraId="00000166">
            <w:pPr>
              <w:spacing w:after="10" w:lineRule="auto"/>
              <w:ind w:left="244" w:right="57" w:hanging="244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1) aktualnym stanem księgi wieczystej prowadzonej dla nieruchomości;</w:t>
            </w:r>
          </w:p>
          <w:p w:rsidR="00000000" w:rsidDel="00000000" w:rsidP="00000000" w:rsidRDefault="00000000" w:rsidRPr="00000000" w14:paraId="00000167">
            <w:pPr>
              <w:spacing w:after="10" w:lineRule="auto"/>
              <w:ind w:left="244" w:right="57" w:hanging="244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2) kopią aktualnego odpisu z Krajowego Rejestru Sądowego, jeśli podmiot podlega wpisowi do Krajowego Rejestru Sądowego lub aktualnym zaświadczeniem o wpisie do Centralnej Ewidencji i Informacji o  działalności Gospodarczej;</w:t>
            </w:r>
          </w:p>
          <w:p w:rsidR="00000000" w:rsidDel="00000000" w:rsidP="00000000" w:rsidRDefault="00000000" w:rsidRPr="00000000" w14:paraId="00000168">
            <w:pPr>
              <w:spacing w:after="10" w:lineRule="auto"/>
              <w:ind w:right="57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3) kopią pozwolenia na budowę;</w:t>
            </w:r>
          </w:p>
          <w:p w:rsidR="00000000" w:rsidDel="00000000" w:rsidP="00000000" w:rsidRDefault="00000000" w:rsidRPr="00000000" w14:paraId="00000169">
            <w:pPr>
              <w:spacing w:after="10" w:lineRule="auto"/>
              <w:ind w:left="244" w:right="57" w:hanging="244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4) sprawozdaniem finansowym dewelopera za ostatnie dwa lata, a w przypadku realizacji inwestycji przez spółkę celową — sprawozdaniem spółki dominującej;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244" w:right="57" w:hanging="244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projektem architektoniczno-budowlanym: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Deweloper informuje o możliwości zapoznania się z ww. dokumentami w siedzibie Dewelopera lub biurze sprzedaży.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CZĘŚĆ INDYWIDUALNA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Cena m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powierzchni lokalu mieszkalnego lub domu jedno-rodzinnego</w:t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….zł/m2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1ksv4uv" w:id="6"/>
            <w:bookmarkEnd w:id="6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Określenie położenia oraz istotnych cech domu jednorodzinnego będącego przedmiotem umowy deweloperskiej lub budynku w którym ma znajdować się lokal mieszkalny będący przedmiotem umowy deweloperskiej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liczba kondygnacji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spacing w:before="30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44sinio" w:id="7"/>
            <w:bookmarkEnd w:id="7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technologia wykonania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2jxsxqh" w:id="8"/>
            <w:bookmarkEnd w:id="8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Standard prac wykończeniowych w części wspólnej budynku i terenie wokół niego, stanowiącym część wspólną nieruchomości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Zgodnie z załącznikiem „standard wykończenia”.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liczba lokali w budynku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liczba miejsc garażowych i postojowych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D">
            <w:pPr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z337ya" w:id="9"/>
            <w:bookmarkEnd w:id="9"/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dostępne media w budynku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dostęp do drogi publicznej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Określenie usytuowania lokalu mieszkalnego w budynku, jeżeli przedsięwzięcie deweloperskie dotyczy lokali mieszkalnych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Zgodnie z załącznikiem „karta mieszkania”.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Określenie powierzchni i układu pomieszczeń oraz zakresu i standardu prac wykończeniowych, do których wykonania zobowiązuje się deweloper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Zgodnie z załącznikiem „standard wykończenia” i „karta mieszkania”.</w:t>
            </w:r>
          </w:p>
          <w:p w:rsidR="00000000" w:rsidDel="00000000" w:rsidP="00000000" w:rsidRDefault="00000000" w:rsidRPr="00000000" w14:paraId="000001B6">
            <w:pPr>
              <w:keepLines w:val="1"/>
              <w:widowControl w:val="0"/>
              <w:tabs>
                <w:tab w:val="left" w:pos="3720"/>
                <w:tab w:val="left" w:pos="3930"/>
              </w:tabs>
              <w:spacing w:line="276" w:lineRule="auto"/>
              <w:jc w:val="both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podpis dewelopera albo osoby uprawnionej do jego reprezentacji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              ……………………………………………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Lato" w:cs="Lato" w:eastAsia="Lato" w:hAnsi="Lato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964" w:left="1077" w:right="6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tabs>
        <w:tab w:val="center" w:pos="4536"/>
        <w:tab w:val="right" w:pos="9072"/>
      </w:tabs>
      <w:spacing w:after="0" w:line="240" w:lineRule="auto"/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0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szczególności imię i nazwisko albo nazwa (firma) właściciela lub użytkownika wieczystego oraz istniejące obciążenia na nieruchomości.</w:t>
      </w:r>
    </w:p>
  </w:footnote>
  <w:footnote w:id="2"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przypadku braku planu zagospodarowania przestrzennego umieszcza się jedynie informację „Brak planu”.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Niepotrzebne skreślić.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5848350</wp:posOffset>
          </wp:positionH>
          <wp:positionV relativeFrom="paragraph">
            <wp:posOffset>-247649</wp:posOffset>
          </wp:positionV>
          <wp:extent cx="764857" cy="51718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857" cy="5171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000A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0000AA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 w:val="1"/>
    <w:rsid w:val="000000AA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0000AA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numbering" w:styleId="Tech-ComDokumentacja" w:customStyle="1">
    <w:name w:val="Tech-Com Dokumentacja"/>
    <w:uiPriority w:val="99"/>
    <w:rsid w:val="000000AA"/>
    <w:pPr>
      <w:numPr>
        <w:numId w:val="1"/>
      </w:numPr>
    </w:pPr>
  </w:style>
  <w:style w:type="table" w:styleId="TabelaMurapolSpecyfikacja" w:customStyle="1">
    <w:name w:val="Tabela Murapol Specyfikacja"/>
    <w:basedOn w:val="Standardowy"/>
    <w:uiPriority w:val="99"/>
    <w:rsid w:val="000000AA"/>
    <w:pPr>
      <w:spacing w:after="0" w:line="240" w:lineRule="auto"/>
      <w:jc w:val="center"/>
    </w:pPr>
    <w:rPr>
      <w:rFonts w:eastAsiaTheme="minorEastAsia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shd w:color="auto" w:fill="ffffff" w:themeFill="background1" w:val="clear"/>
      <w:vAlign w:val="center"/>
    </w:tcPr>
    <w:tblStylePr w:type="firstRow">
      <w:pPr>
        <w:jc w:val="center"/>
      </w:pPr>
      <w:rPr>
        <w:b w:val="1"/>
      </w:rPr>
      <w:tblPr/>
      <w:tcPr>
        <w:shd w:color="auto" w:fill="548dd4" w:themeFill="text2" w:themeFillTint="000099" w:val="clear"/>
      </w:tcPr>
    </w:tblStylePr>
    <w:tblStylePr w:type="lastCol">
      <w:pPr>
        <w:jc w:val="left"/>
      </w:pPr>
    </w:tblStylePr>
  </w:style>
  <w:style w:type="table" w:styleId="TabelaMurapolSpecyfikacjainnykolor" w:customStyle="1">
    <w:name w:val="Tabela Murapol Specyfikacja inny kolor"/>
    <w:basedOn w:val="TabelaMurapolSpecyfikacja"/>
    <w:uiPriority w:val="99"/>
    <w:rsid w:val="000000AA"/>
    <w:tblPr/>
    <w:tcPr>
      <w:shd w:color="auto" w:fill="ffffff" w:themeFill="background1" w:val="clear"/>
    </w:tcPr>
    <w:tblStylePr w:type="firstRow">
      <w:pPr>
        <w:jc w:val="center"/>
      </w:pPr>
      <w:rPr>
        <w:b w:val="1"/>
      </w:rPr>
      <w:tblPr/>
      <w:tcPr>
        <w:shd w:color="auto" w:fill="ffff00" w:val="clear"/>
      </w:tcPr>
    </w:tblStylePr>
    <w:tblStylePr w:type="lastCol">
      <w:pPr>
        <w:jc w:val="left"/>
      </w:pPr>
    </w:tblStylePr>
  </w:style>
  <w:style w:type="table" w:styleId="Murapolpowiadomienia" w:customStyle="1">
    <w:name w:val="Murapol powiadomienia"/>
    <w:basedOn w:val="Standardowy"/>
    <w:uiPriority w:val="99"/>
    <w:rsid w:val="000000AA"/>
    <w:pPr>
      <w:spacing w:after="0" w:line="240" w:lineRule="auto"/>
    </w:pPr>
    <w:rPr>
      <w:rFonts w:eastAsiaTheme="minorEastAsia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1"/>
        <w:sz w:val="22"/>
      </w:rPr>
      <w:tblPr/>
      <w:tcPr>
        <w:shd w:color="auto" w:fill="b8cce4" w:themeFill="accent1" w:themeFillTint="000066" w:val="clear"/>
      </w:tcPr>
    </w:tblStylePr>
  </w:style>
  <w:style w:type="paragraph" w:styleId="MurapolNazwaAkcji" w:customStyle="1">
    <w:name w:val="Murapol Nazwa Akcji"/>
    <w:basedOn w:val="Normalny"/>
    <w:qFormat w:val="1"/>
    <w:rsid w:val="000000AA"/>
    <w:pPr>
      <w:tabs>
        <w:tab w:val="left" w:pos="10206"/>
      </w:tabs>
      <w:spacing w:after="0" w:line="240" w:lineRule="auto"/>
    </w:pPr>
    <w:rPr>
      <w:rFonts w:ascii="Arial" w:cs="Arial" w:hAnsi="Arial"/>
      <w:b w:val="1"/>
    </w:rPr>
  </w:style>
  <w:style w:type="paragraph" w:styleId="MurapolTrepowiadomienia" w:customStyle="1">
    <w:name w:val="Murapol Treść powiadomienia"/>
    <w:basedOn w:val="Normalny"/>
    <w:qFormat w:val="1"/>
    <w:rsid w:val="000000AA"/>
    <w:pPr>
      <w:tabs>
        <w:tab w:val="left" w:pos="10206"/>
      </w:tabs>
      <w:spacing w:after="0" w:line="240" w:lineRule="auto"/>
    </w:pPr>
    <w:rPr>
      <w:rFonts w:ascii="Arial" w:cs="Arial" w:hAnsi="Arial"/>
    </w:rPr>
  </w:style>
  <w:style w:type="character" w:styleId="Nagwek1Znak" w:customStyle="1">
    <w:name w:val="Nagłówek 1 Znak"/>
    <w:basedOn w:val="Domylnaczcionkaakapitu"/>
    <w:link w:val="Nagwek1"/>
    <w:uiPriority w:val="9"/>
    <w:rsid w:val="000000A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pl-PL"/>
    </w:rPr>
  </w:style>
  <w:style w:type="character" w:styleId="Nagwek2Znak" w:customStyle="1">
    <w:name w:val="Nagłówek 2 Znak"/>
    <w:basedOn w:val="Domylnaczcionkaakapitu"/>
    <w:link w:val="Nagwek2"/>
    <w:rsid w:val="000000AA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0000AA"/>
    <w:rPr>
      <w:rFonts w:asciiTheme="majorHAnsi" w:cstheme="majorBidi" w:eastAsiaTheme="majorEastAsia" w:hAnsiTheme="majorHAnsi"/>
      <w:b w:val="1"/>
      <w:bCs w:val="1"/>
      <w:color w:val="4f81bd" w:themeColor="accent1"/>
      <w:lang w:eastAsia="pl-PL"/>
    </w:rPr>
  </w:style>
  <w:style w:type="paragraph" w:styleId="Nagwek">
    <w:name w:val="header"/>
    <w:basedOn w:val="Normalny"/>
    <w:link w:val="NagwekZnak"/>
    <w:unhideWhenUsed w:val="1"/>
    <w:rsid w:val="000000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0000AA"/>
  </w:style>
  <w:style w:type="paragraph" w:styleId="Stopka">
    <w:name w:val="footer"/>
    <w:basedOn w:val="Normalny"/>
    <w:link w:val="StopkaZnak"/>
    <w:uiPriority w:val="99"/>
    <w:unhideWhenUsed w:val="1"/>
    <w:rsid w:val="000000A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000A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000A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000AA"/>
    <w:rPr>
      <w:rFonts w:ascii="Tahoma" w:cs="Tahoma" w:hAnsi="Tahoma" w:eastAsiaTheme="minorEastAsi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000AA"/>
    <w:pPr>
      <w:spacing w:after="0" w:line="240" w:lineRule="auto"/>
    </w:pPr>
    <w:rPr>
      <w:rFonts w:eastAsiaTheme="minorEastAsia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0000AA"/>
    <w:pPr>
      <w:ind w:left="720"/>
      <w:contextualSpacing w:val="1"/>
    </w:p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C4332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C433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C4332"/>
    <w:rPr>
      <w:vertAlign w:val="superscript"/>
    </w:rPr>
  </w:style>
  <w:style w:type="paragraph" w:styleId="Normalny3" w:customStyle="1">
    <w:name w:val="Normalny3"/>
    <w:basedOn w:val="Normalny"/>
    <w:rsid w:val="00A31D9B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1"/>
      <w:sz w:val="20"/>
      <w:szCs w:val="20"/>
      <w:lang w:bidi="pl-PL"/>
    </w:rPr>
  </w:style>
  <w:style w:type="character" w:styleId="Hipercze">
    <w:name w:val="Hyperlink"/>
    <w:basedOn w:val="Domylnaczcionkaakapitu"/>
    <w:uiPriority w:val="99"/>
    <w:unhideWhenUsed w:val="1"/>
    <w:rsid w:val="00830BFB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 w:val="1"/>
    <w:rsid w:val="002815BE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pacing w:after="0" w:line="240" w:lineRule="auto"/>
      <w:ind w:firstLine="567"/>
      <w:jc w:val="both"/>
    </w:pPr>
    <w:rPr>
      <w:rFonts w:ascii="Courier New CE Normalny" w:cs="Times New Roman" w:eastAsia="Times New Roman" w:hAnsi="Courier New CE Normalny"/>
      <w:b w:val="1"/>
      <w:sz w:val="27"/>
      <w:szCs w:val="20"/>
    </w:rPr>
  </w:style>
  <w:style w:type="character" w:styleId="Tekstpodstawowywcity2Znak" w:customStyle="1">
    <w:name w:val="Tekst podstawowy wcięty 2 Znak"/>
    <w:basedOn w:val="Domylnaczcionkaakapitu"/>
    <w:link w:val="Tekstpodstawowywcity2"/>
    <w:semiHidden w:val="1"/>
    <w:rsid w:val="002815BE"/>
    <w:rPr>
      <w:rFonts w:ascii="Courier New CE Normalny" w:cs="Times New Roman" w:eastAsia="Times New Roman" w:hAnsi="Courier New CE Normalny"/>
      <w:b w:val="1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 w:val="1"/>
    <w:rsid w:val="00A259F9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A259F9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1D2CB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D2CB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D2CB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3C1033"/>
    <w:rPr>
      <w:color w:val="605e5c"/>
      <w:shd w:color="auto" w:fill="e1dfdd" w:val="clea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44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B4495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B4495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4495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44953"/>
    <w:rPr>
      <w:rFonts w:eastAsiaTheme="minorEastAsia"/>
      <w:b w:val="1"/>
      <w:bCs w:val="1"/>
      <w:sz w:val="20"/>
      <w:szCs w:val="20"/>
      <w:lang w:eastAsia="pl-PL"/>
    </w:rPr>
  </w:style>
  <w:style w:type="character" w:styleId="apple-converted-space" w:customStyle="1">
    <w:name w:val="apple-converted-space"/>
    <w:rsid w:val="00527C4C"/>
  </w:style>
  <w:style w:type="character" w:styleId="normaltextrun" w:customStyle="1">
    <w:name w:val="normaltextrun"/>
    <w:basedOn w:val="Domylnaczcionkaakapitu"/>
    <w:rsid w:val="007F591F"/>
  </w:style>
  <w:style w:type="character" w:styleId="Pogrubienie">
    <w:name w:val="Strong"/>
    <w:basedOn w:val="Domylnaczcionkaakapitu"/>
    <w:uiPriority w:val="22"/>
    <w:qFormat w:val="1"/>
    <w:rsid w:val="00CA5F87"/>
    <w:rPr>
      <w:b w:val="1"/>
      <w:bCs w:val="1"/>
    </w:rPr>
  </w:style>
  <w:style w:type="character" w:styleId="highlight" w:customStyle="1">
    <w:name w:val="highlight"/>
    <w:basedOn w:val="Domylnaczcionkaakapitu"/>
    <w:rsid w:val="00257E3D"/>
  </w:style>
  <w:style w:type="character" w:styleId="footnote" w:customStyle="1">
    <w:name w:val="footnote"/>
    <w:basedOn w:val="Domylnaczcionkaakapitu"/>
    <w:rsid w:val="00257E3D"/>
  </w:style>
  <w:style w:type="paragraph" w:styleId="mainpub" w:customStyle="1">
    <w:name w:val="mainpub"/>
    <w:basedOn w:val="Normalny"/>
    <w:rsid w:val="00257E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kstkomentarzaZnak1" w:customStyle="1">
    <w:name w:val="Tekst komentarza Znak1"/>
    <w:uiPriority w:val="99"/>
    <w:rsid w:val="00B00362"/>
    <w:rPr>
      <w:rFonts w:ascii="Garamond" w:cs="Times New Roman" w:eastAsia="Times New Roman" w:hAnsi="Garamond"/>
      <w:sz w:val="20"/>
      <w:szCs w:val="20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  <w:vAlign w:val="center"/>
    </w:tcPr>
  </w:style>
  <w:style w:type="table" w:styleId="Table2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  <w:vAlign w:val="center"/>
    </w:tcPr>
  </w:style>
  <w:style w:type="table" w:styleId="Table3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  <w:vAlign w:val="cente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mFEAumsbxCJ/1e3+Cg1xXpFWg==">AMUW2mXPGjfgfE5uPPh6HDTGcQkZSwMYA/qJe+n4ZcYgB9Um56/a9qDg1QukOfvUqFUxthhNn83H6nc1agPJyrqtsZIhXwHVQI0EyuH2rZEWIosdzY0cC0VjbRB4/3NZTpA0LsEhCtnnyi/rO+x7U1pz2IjqwTKzmxw/TYo2VihgyLMi9gqrQqpkIPTLGIjlkdHWRcs3BxE4vBZnUYEv2PUIj0WsoE4BRkLmy17aPYsgrKShsj4v2igoJFiBWPSFpOFv/Z+Wkaqy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2022-02-14T13:59:00Z</dcterms:created>
  <dc:creator>Emil Kruczek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0x010100D7E59B6E057D904AAE05FF492A23AA60</vt:lpwstr>
  </property>
</Properties>
</file>