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45"/>
        <w:ind w:left="0" w:firstLine="0"/>
        <w:rPr>
          <w:rFonts w:ascii="Times New Roman"/>
          <w:sz w:val="22"/>
        </w:rPr>
      </w:pPr>
    </w:p>
    <w:p>
      <w:pPr>
        <w:spacing w:line="276" w:lineRule="auto" w:before="0"/>
        <w:ind w:left="2428" w:right="4088" w:hanging="291"/>
        <w:jc w:val="left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5763895</wp:posOffset>
            </wp:positionH>
            <wp:positionV relativeFrom="paragraph">
              <wp:posOffset>-182866</wp:posOffset>
            </wp:positionV>
            <wp:extent cx="1437004" cy="718184"/>
            <wp:effectExtent l="0" t="0" r="0" b="0"/>
            <wp:wrapNone/>
            <wp:docPr id="3" name="Image 3" descr="G5  PRACE:88 | AL I O R   B A N K :LETTERHEADS:LOGO_MAIL.gif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 descr="G5  PRACE:88 | AL I O R   B A N K :LETTERHEADS:LOGO_MAIL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004" cy="718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b/>
          <w:sz w:val="22"/>
        </w:rPr>
        <w:t>Wytyczne</w:t>
      </w:r>
      <w:r>
        <w:rPr>
          <w:rFonts w:ascii="Verdana" w:hAnsi="Verdana"/>
          <w:b/>
          <w:spacing w:val="-11"/>
          <w:sz w:val="22"/>
        </w:rPr>
        <w:t> </w:t>
      </w:r>
      <w:r>
        <w:rPr>
          <w:rFonts w:ascii="Verdana" w:hAnsi="Verdana"/>
          <w:b/>
          <w:sz w:val="22"/>
        </w:rPr>
        <w:t>do</w:t>
      </w:r>
      <w:r>
        <w:rPr>
          <w:rFonts w:ascii="Verdana" w:hAnsi="Verdana"/>
          <w:b/>
          <w:spacing w:val="-11"/>
          <w:sz w:val="22"/>
        </w:rPr>
        <w:t> </w:t>
      </w:r>
      <w:r>
        <w:rPr>
          <w:rFonts w:ascii="Verdana" w:hAnsi="Verdana"/>
          <w:b/>
          <w:sz w:val="22"/>
        </w:rPr>
        <w:t>operatu</w:t>
      </w:r>
      <w:r>
        <w:rPr>
          <w:rFonts w:ascii="Verdana" w:hAnsi="Verdana"/>
          <w:b/>
          <w:spacing w:val="-9"/>
          <w:sz w:val="22"/>
        </w:rPr>
        <w:t> </w:t>
      </w:r>
      <w:r>
        <w:rPr>
          <w:rFonts w:ascii="Verdana" w:hAnsi="Verdana"/>
          <w:b/>
          <w:sz w:val="22"/>
        </w:rPr>
        <w:t>szacunkowego dla rzeczoznawcy majątkowego</w:t>
      </w:r>
    </w:p>
    <w:p>
      <w:pPr>
        <w:pStyle w:val="BodyText"/>
        <w:spacing w:before="231"/>
        <w:ind w:left="0" w:firstLine="0"/>
        <w:rPr>
          <w:rFonts w:ascii="Verdana"/>
          <w:b/>
          <w:sz w:val="24"/>
        </w:rPr>
      </w:pPr>
    </w:p>
    <w:p>
      <w:pPr>
        <w:pStyle w:val="Heading1"/>
        <w:numPr>
          <w:ilvl w:val="0"/>
          <w:numId w:val="1"/>
        </w:numPr>
        <w:tabs>
          <w:tab w:pos="1015" w:val="left" w:leader="none"/>
        </w:tabs>
        <w:spacing w:line="240" w:lineRule="auto" w:before="0" w:after="0"/>
        <w:ind w:left="1015" w:right="0" w:hanging="476"/>
        <w:jc w:val="left"/>
      </w:pPr>
      <w:r>
        <w:rPr>
          <w:spacing w:val="-2"/>
        </w:rPr>
        <w:t>Zasady</w:t>
      </w:r>
      <w:r>
        <w:rPr>
          <w:spacing w:val="-5"/>
        </w:rPr>
        <w:t> </w:t>
      </w:r>
      <w:r>
        <w:rPr>
          <w:spacing w:val="-2"/>
        </w:rPr>
        <w:t>ogólne</w:t>
      </w:r>
    </w:p>
    <w:p>
      <w:pPr>
        <w:pStyle w:val="ListParagraph"/>
        <w:numPr>
          <w:ilvl w:val="0"/>
          <w:numId w:val="2"/>
        </w:numPr>
        <w:tabs>
          <w:tab w:pos="717" w:val="left" w:leader="none"/>
          <w:tab w:pos="719" w:val="left" w:leader="none"/>
        </w:tabs>
        <w:spacing w:line="276" w:lineRule="auto" w:before="103" w:after="0"/>
        <w:ind w:left="719" w:right="293" w:hanging="358"/>
        <w:jc w:val="both"/>
        <w:rPr>
          <w:sz w:val="20"/>
        </w:rPr>
      </w:pPr>
      <w:r>
        <w:rPr>
          <w:sz w:val="20"/>
        </w:rPr>
        <w:t>rzeczoznawca majątkowy sporządza operat szacunkowy zgodnie z zasadami szczególnej zawodowej staranności i bezstronności oraz zgodnie z przepisami prawa i standardami zawodowymi, kierując się zasadami etyki zawodowej,</w:t>
      </w:r>
    </w:p>
    <w:p>
      <w:pPr>
        <w:pStyle w:val="ListParagraph"/>
        <w:numPr>
          <w:ilvl w:val="0"/>
          <w:numId w:val="2"/>
        </w:numPr>
        <w:tabs>
          <w:tab w:pos="717" w:val="left" w:leader="none"/>
          <w:tab w:pos="719" w:val="left" w:leader="none"/>
        </w:tabs>
        <w:spacing w:line="276" w:lineRule="auto" w:before="0" w:after="0"/>
        <w:ind w:left="719" w:right="293" w:hanging="358"/>
        <w:jc w:val="both"/>
        <w:rPr>
          <w:sz w:val="20"/>
        </w:rPr>
      </w:pPr>
      <w:r>
        <w:rPr>
          <w:sz w:val="20"/>
        </w:rPr>
        <w:t>rzeczoznawca majątkowy powinien być osobą niezależną, nie powinien pozostawać w żadnym stosunku osobistym lub służbowym</w:t>
      </w:r>
      <w:r>
        <w:rPr>
          <w:spacing w:val="-2"/>
          <w:sz w:val="20"/>
        </w:rPr>
        <w:t> </w:t>
      </w:r>
      <w:r>
        <w:rPr>
          <w:sz w:val="20"/>
        </w:rPr>
        <w:t>z kredytobiorcą lub właścicielem</w:t>
      </w:r>
      <w:r>
        <w:rPr>
          <w:spacing w:val="-2"/>
          <w:sz w:val="20"/>
        </w:rPr>
        <w:t> </w:t>
      </w:r>
      <w:r>
        <w:rPr>
          <w:sz w:val="20"/>
        </w:rPr>
        <w:t>nieruchomości, nie</w:t>
      </w:r>
      <w:r>
        <w:rPr>
          <w:spacing w:val="-2"/>
          <w:sz w:val="20"/>
        </w:rPr>
        <w:t> </w:t>
      </w:r>
      <w:r>
        <w:rPr>
          <w:sz w:val="20"/>
        </w:rPr>
        <w:t>jest sam</w:t>
      </w:r>
      <w:r>
        <w:rPr>
          <w:spacing w:val="-1"/>
          <w:sz w:val="20"/>
        </w:rPr>
        <w:t> </w:t>
      </w:r>
      <w:r>
        <w:rPr>
          <w:sz w:val="20"/>
        </w:rPr>
        <w:t>kredytobiorcą lub jego</w:t>
      </w:r>
      <w:r>
        <w:rPr>
          <w:spacing w:val="-1"/>
          <w:sz w:val="20"/>
        </w:rPr>
        <w:t> </w:t>
      </w:r>
      <w:r>
        <w:rPr>
          <w:sz w:val="20"/>
        </w:rPr>
        <w:t>małżonkiem</w:t>
      </w:r>
      <w:r>
        <w:rPr>
          <w:spacing w:val="-2"/>
          <w:sz w:val="20"/>
        </w:rPr>
        <w:t> </w:t>
      </w:r>
      <w:r>
        <w:rPr>
          <w:sz w:val="20"/>
        </w:rPr>
        <w:t>albo</w:t>
      </w:r>
      <w:r>
        <w:rPr>
          <w:spacing w:val="-1"/>
          <w:sz w:val="20"/>
        </w:rPr>
        <w:t> </w:t>
      </w:r>
      <w:r>
        <w:rPr>
          <w:sz w:val="20"/>
        </w:rPr>
        <w:t>krewnym lub powinowatym,</w:t>
      </w:r>
    </w:p>
    <w:p>
      <w:pPr>
        <w:pStyle w:val="ListParagraph"/>
        <w:numPr>
          <w:ilvl w:val="0"/>
          <w:numId w:val="2"/>
        </w:numPr>
        <w:tabs>
          <w:tab w:pos="717" w:val="left" w:leader="none"/>
          <w:tab w:pos="719" w:val="left" w:leader="none"/>
        </w:tabs>
        <w:spacing w:line="276" w:lineRule="auto" w:before="0" w:after="0"/>
        <w:ind w:left="719" w:right="292" w:hanging="358"/>
        <w:jc w:val="both"/>
        <w:rPr>
          <w:sz w:val="20"/>
        </w:rPr>
      </w:pPr>
      <w:r>
        <w:rPr>
          <w:sz w:val="20"/>
        </w:rPr>
        <w:t>operat szacunkowy powinien być przejrzysty i zrozumiały w swojej treści, a także możliwy do całkowitego zweryfikowania (powinien zawierać wszystkie obliczenia pozwalające sprawdzić, czy wycena nie zawiera błędów rachunkowych),</w:t>
      </w:r>
    </w:p>
    <w:p>
      <w:pPr>
        <w:pStyle w:val="ListParagraph"/>
        <w:numPr>
          <w:ilvl w:val="0"/>
          <w:numId w:val="2"/>
        </w:numPr>
        <w:tabs>
          <w:tab w:pos="718" w:val="left" w:leader="none"/>
        </w:tabs>
        <w:spacing w:line="240" w:lineRule="auto" w:before="0" w:after="0"/>
        <w:ind w:left="718" w:right="0" w:hanging="356"/>
        <w:jc w:val="both"/>
        <w:rPr>
          <w:sz w:val="20"/>
        </w:rPr>
      </w:pPr>
      <w:r>
        <w:rPr>
          <w:sz w:val="20"/>
        </w:rPr>
        <w:t>operat</w:t>
      </w:r>
      <w:r>
        <w:rPr>
          <w:spacing w:val="-7"/>
          <w:sz w:val="20"/>
        </w:rPr>
        <w:t> </w:t>
      </w:r>
      <w:r>
        <w:rPr>
          <w:sz w:val="20"/>
        </w:rPr>
        <w:t>powinien</w:t>
      </w:r>
      <w:r>
        <w:rPr>
          <w:spacing w:val="-7"/>
          <w:sz w:val="20"/>
        </w:rPr>
        <w:t> </w:t>
      </w:r>
      <w:r>
        <w:rPr>
          <w:sz w:val="20"/>
        </w:rPr>
        <w:t>opierać</w:t>
      </w:r>
      <w:r>
        <w:rPr>
          <w:spacing w:val="-7"/>
          <w:sz w:val="20"/>
        </w:rPr>
        <w:t> </w:t>
      </w:r>
      <w:r>
        <w:rPr>
          <w:sz w:val="20"/>
        </w:rPr>
        <w:t>się</w:t>
      </w:r>
      <w:r>
        <w:rPr>
          <w:spacing w:val="-8"/>
          <w:sz w:val="20"/>
        </w:rPr>
        <w:t> </w:t>
      </w:r>
      <w:r>
        <w:rPr>
          <w:sz w:val="20"/>
        </w:rPr>
        <w:t>na</w:t>
      </w:r>
      <w:r>
        <w:rPr>
          <w:spacing w:val="-6"/>
          <w:sz w:val="20"/>
        </w:rPr>
        <w:t> </w:t>
      </w:r>
      <w:r>
        <w:rPr>
          <w:sz w:val="20"/>
        </w:rPr>
        <w:t>gruntowej</w:t>
      </w:r>
      <w:r>
        <w:rPr>
          <w:spacing w:val="-7"/>
          <w:sz w:val="20"/>
        </w:rPr>
        <w:t> </w:t>
      </w:r>
      <w:r>
        <w:rPr>
          <w:sz w:val="20"/>
        </w:rPr>
        <w:t>analizie</w:t>
      </w:r>
      <w:r>
        <w:rPr>
          <w:spacing w:val="-8"/>
          <w:sz w:val="20"/>
        </w:rPr>
        <w:t> </w:t>
      </w:r>
      <w:r>
        <w:rPr>
          <w:sz w:val="20"/>
        </w:rPr>
        <w:t>rynku,</w:t>
      </w:r>
      <w:r>
        <w:rPr>
          <w:spacing w:val="-7"/>
          <w:sz w:val="20"/>
        </w:rPr>
        <w:t> </w:t>
      </w:r>
      <w:r>
        <w:rPr>
          <w:sz w:val="20"/>
        </w:rPr>
        <w:t>potwierdzonej</w:t>
      </w:r>
      <w:r>
        <w:rPr>
          <w:spacing w:val="-7"/>
          <w:sz w:val="20"/>
        </w:rPr>
        <w:t> </w:t>
      </w:r>
      <w:r>
        <w:rPr>
          <w:sz w:val="20"/>
        </w:rPr>
        <w:t>dowodami</w:t>
      </w:r>
      <w:r>
        <w:rPr>
          <w:spacing w:val="-7"/>
          <w:sz w:val="20"/>
        </w:rPr>
        <w:t> </w:t>
      </w:r>
      <w:r>
        <w:rPr>
          <w:sz w:val="20"/>
        </w:rPr>
        <w:t>danych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rynkowych,</w:t>
      </w:r>
    </w:p>
    <w:p>
      <w:pPr>
        <w:pStyle w:val="ListParagraph"/>
        <w:numPr>
          <w:ilvl w:val="0"/>
          <w:numId w:val="2"/>
        </w:numPr>
        <w:tabs>
          <w:tab w:pos="719" w:val="left" w:leader="none"/>
        </w:tabs>
        <w:spacing w:line="276" w:lineRule="auto" w:before="37" w:after="0"/>
        <w:ind w:left="719" w:right="300" w:hanging="358"/>
        <w:jc w:val="left"/>
        <w:rPr>
          <w:sz w:val="20"/>
        </w:rPr>
      </w:pPr>
      <w:r>
        <w:rPr>
          <w:sz w:val="20"/>
        </w:rPr>
        <w:t>w</w:t>
      </w:r>
      <w:r>
        <w:rPr>
          <w:spacing w:val="40"/>
          <w:sz w:val="20"/>
        </w:rPr>
        <w:t> </w:t>
      </w:r>
      <w:r>
        <w:rPr>
          <w:sz w:val="20"/>
        </w:rPr>
        <w:t>operacie</w:t>
      </w:r>
      <w:r>
        <w:rPr>
          <w:spacing w:val="40"/>
          <w:sz w:val="20"/>
        </w:rPr>
        <w:t> </w:t>
      </w:r>
      <w:r>
        <w:rPr>
          <w:sz w:val="20"/>
        </w:rPr>
        <w:t>szacunkowym</w:t>
      </w:r>
      <w:r>
        <w:rPr>
          <w:spacing w:val="40"/>
          <w:sz w:val="20"/>
        </w:rPr>
        <w:t> </w:t>
      </w:r>
      <w:r>
        <w:rPr>
          <w:sz w:val="20"/>
        </w:rPr>
        <w:t>rzeczoznawca</w:t>
      </w:r>
      <w:r>
        <w:rPr>
          <w:spacing w:val="40"/>
          <w:sz w:val="20"/>
        </w:rPr>
        <w:t> </w:t>
      </w:r>
      <w:r>
        <w:rPr>
          <w:sz w:val="20"/>
        </w:rPr>
        <w:t>majątkowy</w:t>
      </w:r>
      <w:r>
        <w:rPr>
          <w:spacing w:val="40"/>
          <w:sz w:val="20"/>
        </w:rPr>
        <w:t> </w:t>
      </w:r>
      <w:r>
        <w:rPr>
          <w:sz w:val="20"/>
        </w:rPr>
        <w:t>powinien</w:t>
      </w:r>
      <w:r>
        <w:rPr>
          <w:spacing w:val="40"/>
          <w:sz w:val="20"/>
        </w:rPr>
        <w:t> </w:t>
      </w:r>
      <w:r>
        <w:rPr>
          <w:sz w:val="20"/>
        </w:rPr>
        <w:t>ujawnić</w:t>
      </w:r>
      <w:r>
        <w:rPr>
          <w:spacing w:val="40"/>
          <w:sz w:val="20"/>
        </w:rPr>
        <w:t> </w:t>
      </w:r>
      <w:r>
        <w:rPr>
          <w:sz w:val="20"/>
        </w:rPr>
        <w:t>poznane</w:t>
      </w:r>
      <w:r>
        <w:rPr>
          <w:spacing w:val="40"/>
          <w:sz w:val="20"/>
        </w:rPr>
        <w:t> </w:t>
      </w:r>
      <w:r>
        <w:rPr>
          <w:sz w:val="20"/>
        </w:rPr>
        <w:t>w</w:t>
      </w:r>
      <w:r>
        <w:rPr>
          <w:spacing w:val="40"/>
          <w:sz w:val="20"/>
        </w:rPr>
        <w:t> </w:t>
      </w:r>
      <w:r>
        <w:rPr>
          <w:sz w:val="20"/>
        </w:rPr>
        <w:t>trakcie</w:t>
      </w:r>
      <w:r>
        <w:rPr>
          <w:spacing w:val="40"/>
          <w:sz w:val="20"/>
        </w:rPr>
        <w:t> </w:t>
      </w:r>
      <w:r>
        <w:rPr>
          <w:sz w:val="20"/>
        </w:rPr>
        <w:t>szacowania</w:t>
      </w:r>
      <w:r>
        <w:rPr>
          <w:spacing w:val="40"/>
          <w:sz w:val="20"/>
        </w:rPr>
        <w:t> </w:t>
      </w:r>
      <w:r>
        <w:rPr>
          <w:sz w:val="20"/>
        </w:rPr>
        <w:t>nieruchomości okoliczności, ograniczające jej przydatność do zabezpieczenia wierzytelności,</w:t>
      </w:r>
    </w:p>
    <w:p>
      <w:pPr>
        <w:pStyle w:val="ListParagraph"/>
        <w:numPr>
          <w:ilvl w:val="0"/>
          <w:numId w:val="2"/>
        </w:numPr>
        <w:tabs>
          <w:tab w:pos="719" w:val="left" w:leader="none"/>
        </w:tabs>
        <w:spacing w:line="240" w:lineRule="auto" w:before="0" w:after="0"/>
        <w:ind w:left="719" w:right="0" w:hanging="357"/>
        <w:jc w:val="left"/>
        <w:rPr>
          <w:sz w:val="20"/>
        </w:rPr>
      </w:pPr>
      <w:r>
        <w:rPr>
          <w:sz w:val="20"/>
        </w:rPr>
        <w:t>cel</w:t>
      </w:r>
      <w:r>
        <w:rPr>
          <w:spacing w:val="-7"/>
          <w:sz w:val="20"/>
        </w:rPr>
        <w:t> </w:t>
      </w:r>
      <w:r>
        <w:rPr>
          <w:sz w:val="20"/>
        </w:rPr>
        <w:t>wyceny</w:t>
      </w:r>
      <w:r>
        <w:rPr>
          <w:spacing w:val="-6"/>
          <w:sz w:val="20"/>
        </w:rPr>
        <w:t> </w:t>
      </w:r>
      <w:r>
        <w:rPr>
          <w:sz w:val="20"/>
        </w:rPr>
        <w:t>powinien</w:t>
      </w:r>
      <w:r>
        <w:rPr>
          <w:spacing w:val="-5"/>
          <w:sz w:val="20"/>
        </w:rPr>
        <w:t> </w:t>
      </w:r>
      <w:r>
        <w:rPr>
          <w:sz w:val="20"/>
        </w:rPr>
        <w:t>być</w:t>
      </w:r>
      <w:r>
        <w:rPr>
          <w:spacing w:val="-7"/>
          <w:sz w:val="20"/>
        </w:rPr>
        <w:t> </w:t>
      </w:r>
      <w:r>
        <w:rPr>
          <w:sz w:val="20"/>
        </w:rPr>
        <w:t>precyzyjnie</w:t>
      </w:r>
      <w:r>
        <w:rPr>
          <w:spacing w:val="-7"/>
          <w:sz w:val="20"/>
        </w:rPr>
        <w:t> </w:t>
      </w:r>
      <w:r>
        <w:rPr>
          <w:sz w:val="20"/>
        </w:rPr>
        <w:t>określony,</w:t>
      </w:r>
      <w:r>
        <w:rPr>
          <w:spacing w:val="-6"/>
          <w:sz w:val="20"/>
        </w:rPr>
        <w:t> </w:t>
      </w:r>
      <w:r>
        <w:rPr>
          <w:sz w:val="20"/>
        </w:rPr>
        <w:t>nie</w:t>
      </w:r>
      <w:r>
        <w:rPr>
          <w:spacing w:val="-7"/>
          <w:sz w:val="20"/>
        </w:rPr>
        <w:t> </w:t>
      </w:r>
      <w:r>
        <w:rPr>
          <w:sz w:val="20"/>
        </w:rPr>
        <w:t>budzić</w:t>
      </w:r>
      <w:r>
        <w:rPr>
          <w:spacing w:val="-8"/>
          <w:sz w:val="20"/>
        </w:rPr>
        <w:t> </w:t>
      </w:r>
      <w:r>
        <w:rPr>
          <w:sz w:val="20"/>
        </w:rPr>
        <w:t>wątpliwości</w:t>
      </w:r>
      <w:r>
        <w:rPr>
          <w:spacing w:val="34"/>
          <w:sz w:val="20"/>
        </w:rPr>
        <w:t> </w:t>
      </w:r>
      <w:r>
        <w:rPr>
          <w:sz w:val="20"/>
        </w:rPr>
        <w:t>odbiorców</w:t>
      </w:r>
      <w:r>
        <w:rPr>
          <w:spacing w:val="-6"/>
          <w:sz w:val="20"/>
        </w:rPr>
        <w:t> </w:t>
      </w:r>
      <w:r>
        <w:rPr>
          <w:sz w:val="20"/>
        </w:rPr>
        <w:t>operatu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szacunkowego,</w:t>
      </w:r>
    </w:p>
    <w:p>
      <w:pPr>
        <w:pStyle w:val="ListParagraph"/>
        <w:numPr>
          <w:ilvl w:val="0"/>
          <w:numId w:val="2"/>
        </w:numPr>
        <w:tabs>
          <w:tab w:pos="719" w:val="left" w:leader="none"/>
        </w:tabs>
        <w:spacing w:line="240" w:lineRule="auto" w:before="37" w:after="0"/>
        <w:ind w:left="719" w:right="0" w:hanging="357"/>
        <w:jc w:val="left"/>
        <w:rPr>
          <w:sz w:val="20"/>
        </w:rPr>
      </w:pPr>
      <w:r>
        <w:rPr>
          <w:sz w:val="20"/>
        </w:rPr>
        <w:t>podstawą</w:t>
      </w:r>
      <w:r>
        <w:rPr>
          <w:spacing w:val="-9"/>
          <w:sz w:val="20"/>
        </w:rPr>
        <w:t> </w:t>
      </w:r>
      <w:r>
        <w:rPr>
          <w:sz w:val="20"/>
        </w:rPr>
        <w:t>wycen</w:t>
      </w:r>
      <w:r>
        <w:rPr>
          <w:spacing w:val="-6"/>
          <w:sz w:val="20"/>
        </w:rPr>
        <w:t> </w:t>
      </w:r>
      <w:r>
        <w:rPr>
          <w:sz w:val="20"/>
        </w:rPr>
        <w:t>sporządzonych</w:t>
      </w:r>
      <w:r>
        <w:rPr>
          <w:spacing w:val="-9"/>
          <w:sz w:val="20"/>
        </w:rPr>
        <w:t> </w:t>
      </w:r>
      <w:r>
        <w:rPr>
          <w:sz w:val="20"/>
        </w:rPr>
        <w:t>do</w:t>
      </w:r>
      <w:r>
        <w:rPr>
          <w:spacing w:val="-9"/>
          <w:sz w:val="20"/>
        </w:rPr>
        <w:t> </w:t>
      </w:r>
      <w:r>
        <w:rPr>
          <w:sz w:val="20"/>
        </w:rPr>
        <w:t>celów</w:t>
      </w:r>
      <w:r>
        <w:rPr>
          <w:spacing w:val="-9"/>
          <w:sz w:val="20"/>
        </w:rPr>
        <w:t> </w:t>
      </w:r>
      <w:r>
        <w:rPr>
          <w:sz w:val="20"/>
        </w:rPr>
        <w:t>zabezpieczenia</w:t>
      </w:r>
      <w:r>
        <w:rPr>
          <w:spacing w:val="-9"/>
          <w:sz w:val="20"/>
        </w:rPr>
        <w:t> </w:t>
      </w:r>
      <w:r>
        <w:rPr>
          <w:sz w:val="20"/>
        </w:rPr>
        <w:t>wierzytelności</w:t>
      </w:r>
      <w:r>
        <w:rPr>
          <w:spacing w:val="-9"/>
          <w:sz w:val="20"/>
        </w:rPr>
        <w:t> </w:t>
      </w:r>
      <w:r>
        <w:rPr>
          <w:sz w:val="20"/>
        </w:rPr>
        <w:t>jest</w:t>
      </w:r>
      <w:r>
        <w:rPr>
          <w:spacing w:val="-3"/>
          <w:sz w:val="20"/>
        </w:rPr>
        <w:t> </w:t>
      </w:r>
      <w:r>
        <w:rPr>
          <w:sz w:val="20"/>
        </w:rPr>
        <w:t>wartość</w:t>
      </w:r>
      <w:r>
        <w:rPr>
          <w:spacing w:val="-9"/>
          <w:sz w:val="20"/>
        </w:rPr>
        <w:t> </w:t>
      </w:r>
      <w:r>
        <w:rPr>
          <w:sz w:val="20"/>
        </w:rPr>
        <w:t>rynkowa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nieruchomości,</w:t>
      </w:r>
    </w:p>
    <w:p>
      <w:pPr>
        <w:pStyle w:val="ListParagraph"/>
        <w:numPr>
          <w:ilvl w:val="0"/>
          <w:numId w:val="2"/>
        </w:numPr>
        <w:tabs>
          <w:tab w:pos="717" w:val="left" w:leader="none"/>
          <w:tab w:pos="719" w:val="left" w:leader="none"/>
        </w:tabs>
        <w:spacing w:line="276" w:lineRule="auto" w:before="37" w:after="0"/>
        <w:ind w:left="719" w:right="294" w:hanging="358"/>
        <w:jc w:val="both"/>
        <w:rPr>
          <w:sz w:val="20"/>
        </w:rPr>
      </w:pPr>
      <w:r>
        <w:rPr>
          <w:sz w:val="20"/>
        </w:rPr>
        <w:t>Bank akceptuje podejście porównawcze (z wyjątkiem metody statystycznej rynku ), podejście dochodowe i podejście </w:t>
      </w:r>
      <w:r>
        <w:rPr>
          <w:spacing w:val="-2"/>
          <w:sz w:val="20"/>
        </w:rPr>
        <w:t>mieszane,</w:t>
      </w:r>
    </w:p>
    <w:p>
      <w:pPr>
        <w:pStyle w:val="ListParagraph"/>
        <w:numPr>
          <w:ilvl w:val="0"/>
          <w:numId w:val="2"/>
        </w:numPr>
        <w:tabs>
          <w:tab w:pos="717" w:val="left" w:leader="none"/>
          <w:tab w:pos="719" w:val="left" w:leader="none"/>
        </w:tabs>
        <w:spacing w:line="276" w:lineRule="auto" w:before="0" w:after="0"/>
        <w:ind w:left="719" w:right="301" w:hanging="358"/>
        <w:jc w:val="both"/>
        <w:rPr>
          <w:sz w:val="20"/>
        </w:rPr>
      </w:pPr>
      <w:r>
        <w:rPr>
          <w:sz w:val="20"/>
        </w:rPr>
        <w:t>wyboru sposobu użytkowania nieruchomości dokonuje rzeczoznawca majątkowy, uwzględniając przepisy prawa, cel wyceny, stan i przeznaczenie nieruchomości oraz stan rynku.</w:t>
      </w:r>
    </w:p>
    <w:p>
      <w:pPr>
        <w:pStyle w:val="ListParagraph"/>
        <w:numPr>
          <w:ilvl w:val="0"/>
          <w:numId w:val="2"/>
        </w:numPr>
        <w:tabs>
          <w:tab w:pos="716" w:val="left" w:leader="none"/>
          <w:tab w:pos="719" w:val="left" w:leader="none"/>
        </w:tabs>
        <w:spacing w:line="276" w:lineRule="auto" w:before="0" w:after="0"/>
        <w:ind w:left="719" w:right="306" w:hanging="358"/>
        <w:jc w:val="both"/>
        <w:rPr>
          <w:sz w:val="20"/>
        </w:rPr>
      </w:pPr>
      <w:r>
        <w:rPr>
          <w:sz w:val="20"/>
        </w:rPr>
        <w:t>przyjęty do wyceny inny niż aktualny sposób użytkowania musi być uzasadniony (fizycznie możliwy, prawnie dopuszczalny i finansowo wykonalny) oraz umożliwiać właściwą interpretację otrzymanego wyniku,</w:t>
      </w:r>
    </w:p>
    <w:p>
      <w:pPr>
        <w:pStyle w:val="ListParagraph"/>
        <w:numPr>
          <w:ilvl w:val="0"/>
          <w:numId w:val="2"/>
        </w:numPr>
        <w:tabs>
          <w:tab w:pos="716" w:val="left" w:leader="none"/>
          <w:tab w:pos="719" w:val="left" w:leader="none"/>
        </w:tabs>
        <w:spacing w:line="276" w:lineRule="auto" w:before="0" w:after="0"/>
        <w:ind w:left="719" w:right="297" w:hanging="358"/>
        <w:jc w:val="both"/>
        <w:rPr>
          <w:sz w:val="20"/>
        </w:rPr>
      </w:pPr>
      <w:r>
        <w:rPr>
          <w:sz w:val="20"/>
        </w:rPr>
        <w:t>rzeczoznawca opisuje w operacie czy stan techniczny budynków/budowli nie budzi zastrzeżeń a nieruchomość wykorzystywana jest zgodnie z przeznaczeniem w planie zagospodarowania przestrzennego/studium uwarunkowań i kierunków zagospodarowania przestrzennego lub decyzją o warunkach zabudowy,</w:t>
      </w:r>
    </w:p>
    <w:p>
      <w:pPr>
        <w:pStyle w:val="ListParagraph"/>
        <w:numPr>
          <w:ilvl w:val="0"/>
          <w:numId w:val="2"/>
        </w:numPr>
        <w:tabs>
          <w:tab w:pos="716" w:val="left" w:leader="none"/>
          <w:tab w:pos="719" w:val="left" w:leader="none"/>
        </w:tabs>
        <w:spacing w:line="276" w:lineRule="auto" w:before="0" w:after="0"/>
        <w:ind w:left="719" w:right="308" w:hanging="358"/>
        <w:jc w:val="both"/>
        <w:rPr>
          <w:sz w:val="20"/>
        </w:rPr>
      </w:pPr>
      <w:r>
        <w:rPr>
          <w:sz w:val="20"/>
        </w:rPr>
        <w:t>rzeczoznawca zawiera informację w operacie na temat toczącego się postępowania spadkowego lub czy nieruchomość jest przedmiotem najmu,</w:t>
      </w:r>
    </w:p>
    <w:p>
      <w:pPr>
        <w:pStyle w:val="ListParagraph"/>
        <w:numPr>
          <w:ilvl w:val="0"/>
          <w:numId w:val="2"/>
        </w:numPr>
        <w:tabs>
          <w:tab w:pos="716" w:val="left" w:leader="none"/>
          <w:tab w:pos="719" w:val="left" w:leader="none"/>
        </w:tabs>
        <w:spacing w:line="276" w:lineRule="auto" w:before="0" w:after="0"/>
        <w:ind w:left="719" w:right="305" w:hanging="358"/>
        <w:jc w:val="both"/>
        <w:rPr>
          <w:sz w:val="20"/>
        </w:rPr>
      </w:pPr>
      <w:r>
        <w:rPr>
          <w:sz w:val="20"/>
        </w:rPr>
        <w:t>rzeczoznawca majątkowy dokonuje osobistej inspekcji nieruchomości zarówno wewnątrz i na zewnątrz budynku wraz z bezpośrednim otoczeniem oraz potwierdzenie tego faktu w operacie szacunkowym.</w:t>
      </w:r>
    </w:p>
    <w:p>
      <w:pPr>
        <w:pStyle w:val="Heading1"/>
        <w:numPr>
          <w:ilvl w:val="0"/>
          <w:numId w:val="1"/>
        </w:numPr>
        <w:tabs>
          <w:tab w:pos="1015" w:val="left" w:leader="none"/>
        </w:tabs>
        <w:spacing w:line="240" w:lineRule="auto" w:before="241" w:after="0"/>
        <w:ind w:left="1015" w:right="0" w:hanging="533"/>
        <w:jc w:val="left"/>
      </w:pPr>
      <w:r>
        <w:rPr/>
        <w:t>Zasady</w:t>
      </w:r>
      <w:r>
        <w:rPr>
          <w:spacing w:val="-13"/>
        </w:rPr>
        <w:t> </w:t>
      </w:r>
      <w:r>
        <w:rPr>
          <w:spacing w:val="-2"/>
        </w:rPr>
        <w:t>szczegółowe</w:t>
      </w:r>
    </w:p>
    <w:p>
      <w:pPr>
        <w:pStyle w:val="ListParagraph"/>
        <w:numPr>
          <w:ilvl w:val="0"/>
          <w:numId w:val="3"/>
        </w:numPr>
        <w:tabs>
          <w:tab w:pos="717" w:val="left" w:leader="none"/>
          <w:tab w:pos="719" w:val="left" w:leader="none"/>
        </w:tabs>
        <w:spacing w:line="276" w:lineRule="auto" w:before="103" w:after="0"/>
        <w:ind w:left="719" w:right="293" w:hanging="358"/>
        <w:jc w:val="both"/>
        <w:rPr>
          <w:sz w:val="20"/>
        </w:rPr>
      </w:pPr>
      <w:r>
        <w:rPr>
          <w:sz w:val="20"/>
        </w:rPr>
        <w:t>rzeczoznawca majątkowy sporządzając wycenę na potrzeby zabezpieczenia wierzytelności musi zachować ostrożność, a szczególnie unikać założeń, przy których określana wartość byłaby funkcją umiejętności i zaradności konkretnego użytkownika lub była wrażliwa na rodzaj prowadzonej na nieruchomości działalności gospodarczej. Wycena powinna odwzorowywać typowe sytuacje i typowe zachowania uczestników rynku;</w:t>
      </w:r>
    </w:p>
    <w:p>
      <w:pPr>
        <w:pStyle w:val="ListParagraph"/>
        <w:numPr>
          <w:ilvl w:val="0"/>
          <w:numId w:val="3"/>
        </w:numPr>
        <w:tabs>
          <w:tab w:pos="717" w:val="left" w:leader="none"/>
          <w:tab w:pos="719" w:val="left" w:leader="none"/>
        </w:tabs>
        <w:spacing w:line="276" w:lineRule="auto" w:before="0" w:after="0"/>
        <w:ind w:left="719" w:right="301" w:hanging="358"/>
        <w:jc w:val="both"/>
        <w:rPr>
          <w:sz w:val="20"/>
        </w:rPr>
      </w:pPr>
      <w:r>
        <w:rPr>
          <w:sz w:val="20"/>
        </w:rPr>
        <w:t>w operacie szacunkowym należy omówić zagrożenia i ryzyka procesu inwestycyjnego (np. uzyskanie odpowiednich zezwoleń, opóźnień w realizacji, zmiany cen w budownictwie, zmiany przepisów, zmiany stóp procentowych, możliwość sprzedaży lub wynajmu po okresie budowy);</w:t>
      </w:r>
    </w:p>
    <w:p>
      <w:pPr>
        <w:pStyle w:val="ListParagraph"/>
        <w:numPr>
          <w:ilvl w:val="0"/>
          <w:numId w:val="3"/>
        </w:numPr>
        <w:tabs>
          <w:tab w:pos="717" w:val="left" w:leader="none"/>
          <w:tab w:pos="719" w:val="left" w:leader="none"/>
        </w:tabs>
        <w:spacing w:line="276" w:lineRule="auto" w:before="0" w:after="0"/>
        <w:ind w:left="719" w:right="296" w:hanging="358"/>
        <w:jc w:val="both"/>
        <w:rPr>
          <w:sz w:val="20"/>
        </w:rPr>
      </w:pPr>
      <w:r>
        <w:rPr>
          <w:sz w:val="20"/>
        </w:rPr>
        <w:t>rzeczoznawca majątkowy sporządza opinię dotyczącą kwestii ochrony środowiska, określa wpływ czynników środowiskowych na daną nieruchomość (informacyjnie dla nieruchomości komercyjnych będących przedmiotem finansowania przez Bank);</w:t>
      </w:r>
    </w:p>
    <w:p>
      <w:pPr>
        <w:pStyle w:val="ListParagraph"/>
        <w:numPr>
          <w:ilvl w:val="0"/>
          <w:numId w:val="3"/>
        </w:numPr>
        <w:tabs>
          <w:tab w:pos="717" w:val="left" w:leader="none"/>
          <w:tab w:pos="719" w:val="left" w:leader="none"/>
        </w:tabs>
        <w:spacing w:line="276" w:lineRule="auto" w:before="1" w:after="0"/>
        <w:ind w:left="719" w:right="303" w:hanging="358"/>
        <w:jc w:val="both"/>
        <w:rPr>
          <w:sz w:val="20"/>
        </w:rPr>
      </w:pPr>
      <w:r>
        <w:rPr>
          <w:sz w:val="20"/>
        </w:rPr>
        <w:t>rzeczoznawca majątkowy sprawdza wymagane pozwolenia i uzgodnienia przewidziane prawem (np. miejscowy plan zagospodarowania przestrzennego, decyzje o warunkach zabudowy, decyzje dotyczące pozwolenia na budowę itp.);</w:t>
      </w:r>
    </w:p>
    <w:p>
      <w:pPr>
        <w:pStyle w:val="ListParagraph"/>
        <w:numPr>
          <w:ilvl w:val="0"/>
          <w:numId w:val="3"/>
        </w:numPr>
        <w:tabs>
          <w:tab w:pos="717" w:val="left" w:leader="none"/>
          <w:tab w:pos="719" w:val="left" w:leader="none"/>
        </w:tabs>
        <w:spacing w:line="276" w:lineRule="auto" w:before="0" w:after="0"/>
        <w:ind w:left="719" w:right="306" w:hanging="358"/>
        <w:jc w:val="both"/>
        <w:rPr>
          <w:sz w:val="20"/>
        </w:rPr>
      </w:pPr>
      <w:r>
        <w:rPr>
          <w:sz w:val="20"/>
        </w:rPr>
        <w:t>rzeczoznawca przeprowadza badanie stanu prawnego nieruchomości (przede wszystkim wskazuje i opisuje istniejące na nieruchomości obciążenia, np. hipoteki, służebności, umowy najmu/dzierżawy/użyczenia)</w:t>
      </w:r>
    </w:p>
    <w:p>
      <w:pPr>
        <w:pStyle w:val="ListParagraph"/>
        <w:numPr>
          <w:ilvl w:val="0"/>
          <w:numId w:val="3"/>
        </w:numPr>
        <w:tabs>
          <w:tab w:pos="717" w:val="left" w:leader="none"/>
          <w:tab w:pos="719" w:val="left" w:leader="none"/>
        </w:tabs>
        <w:spacing w:line="276" w:lineRule="auto" w:before="0" w:after="0"/>
        <w:ind w:left="719" w:right="304" w:hanging="358"/>
        <w:jc w:val="both"/>
        <w:rPr>
          <w:sz w:val="20"/>
        </w:rPr>
      </w:pPr>
      <w:r>
        <w:rPr>
          <w:sz w:val="20"/>
        </w:rPr>
        <w:t>rzeczoznawca obowiązkowo sprawdza i podaje informację czy nieruchomość posiada dostęp do drogi publicznej i w jaki sposób jest on zapewniony (np. poprzez jakie działki ewidencyjne),</w:t>
      </w:r>
    </w:p>
    <w:p>
      <w:pPr>
        <w:pStyle w:val="ListParagraph"/>
        <w:spacing w:after="0" w:line="276" w:lineRule="auto"/>
        <w:jc w:val="both"/>
        <w:rPr>
          <w:sz w:val="20"/>
        </w:rPr>
        <w:sectPr>
          <w:headerReference w:type="default" r:id="rId5"/>
          <w:footerReference w:type="default" r:id="rId6"/>
          <w:type w:val="continuous"/>
          <w:pgSz w:w="11910" w:h="16840"/>
          <w:pgMar w:header="263" w:footer="560" w:top="860" w:bottom="740" w:left="425" w:right="425"/>
          <w:pgNumType w:start="1"/>
        </w:sectPr>
      </w:pPr>
    </w:p>
    <w:p>
      <w:pPr>
        <w:pStyle w:val="BodyText"/>
        <w:spacing w:before="55"/>
        <w:ind w:left="0" w:firstLine="0"/>
      </w:pPr>
    </w:p>
    <w:p>
      <w:pPr>
        <w:pStyle w:val="ListParagraph"/>
        <w:numPr>
          <w:ilvl w:val="0"/>
          <w:numId w:val="3"/>
        </w:numPr>
        <w:tabs>
          <w:tab w:pos="717" w:val="left" w:leader="none"/>
          <w:tab w:pos="719" w:val="left" w:leader="none"/>
        </w:tabs>
        <w:spacing w:line="276" w:lineRule="auto" w:before="1" w:after="0"/>
        <w:ind w:left="719" w:right="295" w:hanging="358"/>
        <w:jc w:val="both"/>
        <w:rPr>
          <w:sz w:val="20"/>
        </w:rPr>
      </w:pPr>
      <w:r>
        <w:rPr>
          <w:sz w:val="20"/>
        </w:rPr>
        <w:t>rzeczoznawca zawiera informację w operacie na temat toczącego się postępowania spadkowego lub czy nieruchomość jest przedmiotem najmu,</w:t>
      </w:r>
    </w:p>
    <w:p>
      <w:pPr>
        <w:pStyle w:val="ListParagraph"/>
        <w:numPr>
          <w:ilvl w:val="0"/>
          <w:numId w:val="3"/>
        </w:numPr>
        <w:tabs>
          <w:tab w:pos="717" w:val="left" w:leader="none"/>
          <w:tab w:pos="719" w:val="left" w:leader="none"/>
        </w:tabs>
        <w:spacing w:line="276" w:lineRule="auto" w:before="0" w:after="0"/>
        <w:ind w:left="719" w:right="298" w:hanging="358"/>
        <w:jc w:val="both"/>
        <w:rPr>
          <w:sz w:val="20"/>
        </w:rPr>
      </w:pPr>
      <w:r>
        <w:rPr>
          <w:sz w:val="20"/>
        </w:rPr>
        <w:t>rzeczoznawca uwzględnia w operacie szacunkowym stan techniczno-użytkowy</w:t>
      </w:r>
      <w:r>
        <w:rPr>
          <w:spacing w:val="40"/>
          <w:sz w:val="20"/>
        </w:rPr>
        <w:t> </w:t>
      </w:r>
      <w:r>
        <w:rPr>
          <w:sz w:val="20"/>
        </w:rPr>
        <w:t>realizowanych / planowanych / nie zakończonych prac budowlanych związanych z budową, przebudową, rozbudową, nadbudową przedmiotu wyceny.</w:t>
      </w:r>
    </w:p>
    <w:p>
      <w:pPr>
        <w:pStyle w:val="ListParagraph"/>
        <w:numPr>
          <w:ilvl w:val="0"/>
          <w:numId w:val="3"/>
        </w:numPr>
        <w:tabs>
          <w:tab w:pos="717" w:val="left" w:leader="none"/>
          <w:tab w:pos="719" w:val="left" w:leader="none"/>
        </w:tabs>
        <w:spacing w:line="276" w:lineRule="auto" w:before="0" w:after="0"/>
        <w:ind w:left="719" w:right="306" w:hanging="358"/>
        <w:jc w:val="both"/>
        <w:rPr>
          <w:sz w:val="20"/>
        </w:rPr>
      </w:pPr>
      <w:r>
        <w:rPr>
          <w:sz w:val="20"/>
        </w:rPr>
        <w:t>rzeczoznawca opisuje w operacie czy stan techniczny budynków/budowli nie budzi zastrzeżeń a nieruchomość wykorzystywana jest zgodnie z przeznaczeniem w planie zagospodarowania przestrzennego/studium uwarunkowań i kierunków zagospodarowania przestrzennego lub decyzją o warunkach zabudowy,</w:t>
      </w:r>
    </w:p>
    <w:p>
      <w:pPr>
        <w:pStyle w:val="ListParagraph"/>
        <w:numPr>
          <w:ilvl w:val="0"/>
          <w:numId w:val="3"/>
        </w:numPr>
        <w:tabs>
          <w:tab w:pos="716" w:val="left" w:leader="none"/>
          <w:tab w:pos="719" w:val="left" w:leader="none"/>
        </w:tabs>
        <w:spacing w:line="276" w:lineRule="auto" w:before="0" w:after="0"/>
        <w:ind w:left="719" w:right="291" w:hanging="358"/>
        <w:jc w:val="both"/>
        <w:rPr>
          <w:sz w:val="20"/>
        </w:rPr>
      </w:pPr>
      <w:r>
        <w:rPr>
          <w:sz w:val="20"/>
        </w:rPr>
        <w:t>rzeczoznawca, w przypadku braku dokumentu potwierdzającego powierzchnię użytkową budynku/lokalu, sam dokonuje pomiarów oraz przedstawia w operacie</w:t>
      </w:r>
      <w:r>
        <w:rPr>
          <w:spacing w:val="-1"/>
          <w:sz w:val="20"/>
        </w:rPr>
        <w:t> </w:t>
      </w:r>
      <w:r>
        <w:rPr>
          <w:sz w:val="20"/>
        </w:rPr>
        <w:t>zestawienie powierzchni wszystkich pomieszczeń wchodzących w skład</w:t>
      </w:r>
      <w:r>
        <w:rPr>
          <w:spacing w:val="-1"/>
          <w:sz w:val="20"/>
        </w:rPr>
        <w:t> </w:t>
      </w:r>
      <w:r>
        <w:rPr>
          <w:sz w:val="20"/>
        </w:rPr>
        <w:t>przedmiotu </w:t>
      </w:r>
      <w:r>
        <w:rPr>
          <w:spacing w:val="-2"/>
          <w:sz w:val="20"/>
        </w:rPr>
        <w:t>wyceny.</w:t>
      </w:r>
    </w:p>
    <w:p>
      <w:pPr>
        <w:pStyle w:val="Heading1"/>
        <w:numPr>
          <w:ilvl w:val="0"/>
          <w:numId w:val="1"/>
        </w:numPr>
        <w:tabs>
          <w:tab w:pos="1015" w:val="left" w:leader="none"/>
        </w:tabs>
        <w:spacing w:line="240" w:lineRule="auto" w:before="241" w:after="0"/>
        <w:ind w:left="1015" w:right="0" w:hanging="591"/>
        <w:jc w:val="left"/>
      </w:pPr>
      <w:r>
        <w:rPr>
          <w:spacing w:val="-2"/>
        </w:rPr>
        <w:t>Zawartość operatu szacunkowego</w:t>
      </w:r>
    </w:p>
    <w:p>
      <w:pPr>
        <w:pStyle w:val="ListParagraph"/>
        <w:numPr>
          <w:ilvl w:val="1"/>
          <w:numId w:val="1"/>
        </w:numPr>
        <w:tabs>
          <w:tab w:pos="722" w:val="left" w:leader="none"/>
        </w:tabs>
        <w:spacing w:line="240" w:lineRule="auto" w:before="102" w:after="0"/>
        <w:ind w:left="722" w:right="0" w:hanging="360"/>
        <w:jc w:val="left"/>
        <w:rPr>
          <w:sz w:val="20"/>
        </w:rPr>
      </w:pPr>
      <w:r>
        <w:rPr>
          <w:sz w:val="20"/>
        </w:rPr>
        <w:t>strona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tytułowa,</w:t>
      </w:r>
    </w:p>
    <w:p>
      <w:pPr>
        <w:pStyle w:val="ListParagraph"/>
        <w:numPr>
          <w:ilvl w:val="1"/>
          <w:numId w:val="1"/>
        </w:numPr>
        <w:tabs>
          <w:tab w:pos="722" w:val="left" w:leader="none"/>
        </w:tabs>
        <w:spacing w:line="240" w:lineRule="auto" w:before="37" w:after="0"/>
        <w:ind w:left="722" w:right="0" w:hanging="360"/>
        <w:jc w:val="left"/>
        <w:rPr>
          <w:sz w:val="20"/>
        </w:rPr>
      </w:pPr>
      <w:r>
        <w:rPr>
          <w:sz w:val="20"/>
        </w:rPr>
        <w:t>wyciąg</w:t>
      </w:r>
      <w:r>
        <w:rPr>
          <w:spacing w:val="-7"/>
          <w:sz w:val="20"/>
        </w:rPr>
        <w:t> </w:t>
      </w:r>
      <w:r>
        <w:rPr>
          <w:sz w:val="20"/>
        </w:rPr>
        <w:t>z</w:t>
      </w:r>
      <w:r>
        <w:rPr>
          <w:spacing w:val="-5"/>
          <w:sz w:val="20"/>
        </w:rPr>
        <w:t> </w:t>
      </w:r>
      <w:r>
        <w:rPr>
          <w:sz w:val="20"/>
        </w:rPr>
        <w:t>operatu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szacunkowego,</w:t>
      </w:r>
    </w:p>
    <w:p>
      <w:pPr>
        <w:pStyle w:val="ListParagraph"/>
        <w:numPr>
          <w:ilvl w:val="1"/>
          <w:numId w:val="1"/>
        </w:numPr>
        <w:tabs>
          <w:tab w:pos="722" w:val="left" w:leader="none"/>
        </w:tabs>
        <w:spacing w:line="240" w:lineRule="auto" w:before="37" w:after="0"/>
        <w:ind w:left="722" w:right="0" w:hanging="360"/>
        <w:jc w:val="left"/>
        <w:rPr>
          <w:sz w:val="20"/>
        </w:rPr>
      </w:pPr>
      <w:r>
        <w:rPr>
          <w:sz w:val="20"/>
        </w:rPr>
        <w:t>określenie</w:t>
      </w:r>
      <w:r>
        <w:rPr>
          <w:spacing w:val="-10"/>
          <w:sz w:val="20"/>
        </w:rPr>
        <w:t> </w:t>
      </w:r>
      <w:r>
        <w:rPr>
          <w:sz w:val="20"/>
        </w:rPr>
        <w:t>przedmiotu,</w:t>
      </w:r>
      <w:r>
        <w:rPr>
          <w:spacing w:val="-9"/>
          <w:sz w:val="20"/>
        </w:rPr>
        <w:t> </w:t>
      </w:r>
      <w:r>
        <w:rPr>
          <w:sz w:val="20"/>
        </w:rPr>
        <w:t>zakresu</w:t>
      </w:r>
      <w:r>
        <w:rPr>
          <w:spacing w:val="-8"/>
          <w:sz w:val="20"/>
        </w:rPr>
        <w:t> </w:t>
      </w:r>
      <w:r>
        <w:rPr>
          <w:sz w:val="20"/>
        </w:rPr>
        <w:t>i</w:t>
      </w:r>
      <w:r>
        <w:rPr>
          <w:spacing w:val="-9"/>
          <w:sz w:val="20"/>
        </w:rPr>
        <w:t> </w:t>
      </w:r>
      <w:r>
        <w:rPr>
          <w:sz w:val="20"/>
        </w:rPr>
        <w:t>uwarunkowań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wyceny,</w:t>
      </w:r>
    </w:p>
    <w:p>
      <w:pPr>
        <w:pStyle w:val="ListParagraph"/>
        <w:numPr>
          <w:ilvl w:val="1"/>
          <w:numId w:val="1"/>
        </w:numPr>
        <w:tabs>
          <w:tab w:pos="722" w:val="left" w:leader="none"/>
        </w:tabs>
        <w:spacing w:line="240" w:lineRule="auto" w:before="37" w:after="0"/>
        <w:ind w:left="722" w:right="0" w:hanging="360"/>
        <w:jc w:val="left"/>
        <w:rPr>
          <w:sz w:val="20"/>
        </w:rPr>
      </w:pPr>
      <w:r>
        <w:rPr>
          <w:sz w:val="20"/>
        </w:rPr>
        <w:t>cel</w:t>
      </w:r>
      <w:r>
        <w:rPr>
          <w:spacing w:val="-11"/>
          <w:sz w:val="20"/>
        </w:rPr>
        <w:t> </w:t>
      </w:r>
      <w:r>
        <w:rPr>
          <w:sz w:val="20"/>
        </w:rPr>
        <w:t>wyceny:</w:t>
      </w:r>
      <w:r>
        <w:rPr>
          <w:spacing w:val="-10"/>
          <w:sz w:val="20"/>
        </w:rPr>
        <w:t> </w:t>
      </w:r>
      <w:r>
        <w:rPr>
          <w:sz w:val="20"/>
        </w:rPr>
        <w:t>sporządzenie</w:t>
      </w:r>
      <w:r>
        <w:rPr>
          <w:spacing w:val="-11"/>
          <w:sz w:val="20"/>
        </w:rPr>
        <w:t> </w:t>
      </w:r>
      <w:r>
        <w:rPr>
          <w:sz w:val="20"/>
        </w:rPr>
        <w:t>operatu</w:t>
      </w:r>
      <w:r>
        <w:rPr>
          <w:spacing w:val="-10"/>
          <w:sz w:val="20"/>
        </w:rPr>
        <w:t> </w:t>
      </w:r>
      <w:r>
        <w:rPr>
          <w:sz w:val="20"/>
        </w:rPr>
        <w:t>szacunkowego</w:t>
      </w:r>
      <w:r>
        <w:rPr>
          <w:spacing w:val="-9"/>
          <w:sz w:val="20"/>
        </w:rPr>
        <w:t> </w:t>
      </w:r>
      <w:r>
        <w:rPr>
          <w:sz w:val="20"/>
        </w:rPr>
        <w:t>dla</w:t>
      </w:r>
      <w:r>
        <w:rPr>
          <w:spacing w:val="-10"/>
          <w:sz w:val="20"/>
        </w:rPr>
        <w:t> </w:t>
      </w:r>
      <w:r>
        <w:rPr>
          <w:sz w:val="20"/>
        </w:rPr>
        <w:t>zabezpieczenia</w:t>
      </w:r>
      <w:r>
        <w:rPr>
          <w:spacing w:val="-9"/>
          <w:sz w:val="20"/>
        </w:rPr>
        <w:t> </w:t>
      </w:r>
      <w:r>
        <w:rPr>
          <w:sz w:val="20"/>
        </w:rPr>
        <w:t>wierzytelności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kredytodawcy</w:t>
      </w:r>
    </w:p>
    <w:p>
      <w:pPr>
        <w:pStyle w:val="ListParagraph"/>
        <w:numPr>
          <w:ilvl w:val="1"/>
          <w:numId w:val="1"/>
        </w:numPr>
        <w:tabs>
          <w:tab w:pos="722" w:val="left" w:leader="none"/>
        </w:tabs>
        <w:spacing w:line="276" w:lineRule="auto" w:before="37" w:after="0"/>
        <w:ind w:left="722" w:right="302" w:hanging="360"/>
        <w:jc w:val="left"/>
        <w:rPr>
          <w:sz w:val="20"/>
        </w:rPr>
      </w:pPr>
      <w:r>
        <w:rPr>
          <w:sz w:val="20"/>
        </w:rPr>
        <w:t>określenie</w:t>
      </w:r>
      <w:r>
        <w:rPr>
          <w:spacing w:val="30"/>
          <w:sz w:val="20"/>
        </w:rPr>
        <w:t> </w:t>
      </w:r>
      <w:r>
        <w:rPr>
          <w:sz w:val="20"/>
        </w:rPr>
        <w:t>podstaw</w:t>
      </w:r>
      <w:r>
        <w:rPr>
          <w:spacing w:val="31"/>
          <w:sz w:val="20"/>
        </w:rPr>
        <w:t> </w:t>
      </w:r>
      <w:r>
        <w:rPr>
          <w:sz w:val="20"/>
        </w:rPr>
        <w:t>formalnych,</w:t>
      </w:r>
      <w:r>
        <w:rPr>
          <w:spacing w:val="30"/>
          <w:sz w:val="20"/>
        </w:rPr>
        <w:t> </w:t>
      </w:r>
      <w:r>
        <w:rPr>
          <w:sz w:val="20"/>
        </w:rPr>
        <w:t>prawnych</w:t>
      </w:r>
      <w:r>
        <w:rPr>
          <w:spacing w:val="30"/>
          <w:sz w:val="20"/>
        </w:rPr>
        <w:t> </w:t>
      </w:r>
      <w:r>
        <w:rPr>
          <w:sz w:val="20"/>
        </w:rPr>
        <w:t>i</w:t>
      </w:r>
      <w:r>
        <w:rPr>
          <w:spacing w:val="29"/>
          <w:sz w:val="20"/>
        </w:rPr>
        <w:t> </w:t>
      </w:r>
      <w:r>
        <w:rPr>
          <w:sz w:val="20"/>
        </w:rPr>
        <w:t>merytorycznych</w:t>
      </w:r>
      <w:r>
        <w:rPr>
          <w:spacing w:val="30"/>
          <w:sz w:val="20"/>
        </w:rPr>
        <w:t> </w:t>
      </w:r>
      <w:r>
        <w:rPr>
          <w:sz w:val="20"/>
        </w:rPr>
        <w:t>opracowania</w:t>
      </w:r>
      <w:r>
        <w:rPr>
          <w:spacing w:val="29"/>
          <w:sz w:val="20"/>
        </w:rPr>
        <w:t> </w:t>
      </w:r>
      <w:r>
        <w:rPr>
          <w:sz w:val="20"/>
        </w:rPr>
        <w:t>operatu</w:t>
      </w:r>
      <w:r>
        <w:rPr>
          <w:spacing w:val="30"/>
          <w:sz w:val="20"/>
        </w:rPr>
        <w:t> </w:t>
      </w:r>
      <w:r>
        <w:rPr>
          <w:sz w:val="20"/>
        </w:rPr>
        <w:t>szacunkowego</w:t>
      </w:r>
      <w:r>
        <w:rPr>
          <w:spacing w:val="29"/>
          <w:sz w:val="20"/>
        </w:rPr>
        <w:t> </w:t>
      </w:r>
      <w:r>
        <w:rPr>
          <w:sz w:val="20"/>
        </w:rPr>
        <w:t>oraz</w:t>
      </w:r>
      <w:r>
        <w:rPr>
          <w:spacing w:val="30"/>
          <w:sz w:val="20"/>
        </w:rPr>
        <w:t> </w:t>
      </w:r>
      <w:r>
        <w:rPr>
          <w:sz w:val="20"/>
        </w:rPr>
        <w:t>źródeł</w:t>
      </w:r>
      <w:r>
        <w:rPr>
          <w:spacing w:val="30"/>
          <w:sz w:val="20"/>
        </w:rPr>
        <w:t> </w:t>
      </w:r>
      <w:r>
        <w:rPr>
          <w:sz w:val="20"/>
        </w:rPr>
        <w:t>danych</w:t>
      </w:r>
      <w:r>
        <w:rPr>
          <w:spacing w:val="30"/>
          <w:sz w:val="20"/>
        </w:rPr>
        <w:t> </w:t>
      </w:r>
      <w:r>
        <w:rPr>
          <w:sz w:val="20"/>
        </w:rPr>
        <w:t>o </w:t>
      </w:r>
      <w:r>
        <w:rPr>
          <w:spacing w:val="-2"/>
          <w:sz w:val="20"/>
        </w:rPr>
        <w:t>nieruchomości,</w:t>
      </w:r>
    </w:p>
    <w:p>
      <w:pPr>
        <w:pStyle w:val="ListParagraph"/>
        <w:numPr>
          <w:ilvl w:val="1"/>
          <w:numId w:val="1"/>
        </w:numPr>
        <w:tabs>
          <w:tab w:pos="722" w:val="left" w:leader="none"/>
        </w:tabs>
        <w:spacing w:line="240" w:lineRule="auto" w:before="0" w:after="0"/>
        <w:ind w:left="722" w:right="0" w:hanging="360"/>
        <w:jc w:val="left"/>
        <w:rPr>
          <w:sz w:val="20"/>
        </w:rPr>
      </w:pPr>
      <w:r>
        <w:rPr>
          <w:sz w:val="20"/>
        </w:rPr>
        <w:t>określenie</w:t>
      </w:r>
      <w:r>
        <w:rPr>
          <w:spacing w:val="-10"/>
          <w:sz w:val="20"/>
        </w:rPr>
        <w:t> </w:t>
      </w:r>
      <w:r>
        <w:rPr>
          <w:sz w:val="20"/>
        </w:rPr>
        <w:t>dat</w:t>
      </w:r>
      <w:r>
        <w:rPr>
          <w:spacing w:val="-8"/>
          <w:sz w:val="20"/>
        </w:rPr>
        <w:t> </w:t>
      </w:r>
      <w:r>
        <w:rPr>
          <w:sz w:val="20"/>
        </w:rPr>
        <w:t>istotnych</w:t>
      </w:r>
      <w:r>
        <w:rPr>
          <w:spacing w:val="-8"/>
          <w:sz w:val="20"/>
        </w:rPr>
        <w:t> </w:t>
      </w:r>
      <w:r>
        <w:rPr>
          <w:sz w:val="20"/>
        </w:rPr>
        <w:t>dla</w:t>
      </w:r>
      <w:r>
        <w:rPr>
          <w:spacing w:val="-8"/>
          <w:sz w:val="20"/>
        </w:rPr>
        <w:t> </w:t>
      </w:r>
      <w:r>
        <w:rPr>
          <w:sz w:val="20"/>
        </w:rPr>
        <w:t>czynności</w:t>
      </w:r>
      <w:r>
        <w:rPr>
          <w:spacing w:val="-9"/>
          <w:sz w:val="20"/>
        </w:rPr>
        <w:t> </w:t>
      </w:r>
      <w:r>
        <w:rPr>
          <w:sz w:val="20"/>
        </w:rPr>
        <w:t>rzeczoznawcy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majątkowego,</w:t>
      </w:r>
    </w:p>
    <w:p>
      <w:pPr>
        <w:pStyle w:val="ListParagraph"/>
        <w:numPr>
          <w:ilvl w:val="1"/>
          <w:numId w:val="1"/>
        </w:numPr>
        <w:tabs>
          <w:tab w:pos="722" w:val="left" w:leader="none"/>
        </w:tabs>
        <w:spacing w:line="240" w:lineRule="auto" w:before="36" w:after="0"/>
        <w:ind w:left="722" w:right="0" w:hanging="360"/>
        <w:jc w:val="left"/>
        <w:rPr>
          <w:sz w:val="20"/>
        </w:rPr>
      </w:pPr>
      <w:r>
        <w:rPr>
          <w:sz w:val="20"/>
        </w:rPr>
        <w:t>opis</w:t>
      </w:r>
      <w:r>
        <w:rPr>
          <w:spacing w:val="-10"/>
          <w:sz w:val="20"/>
        </w:rPr>
        <w:t> </w:t>
      </w:r>
      <w:r>
        <w:rPr>
          <w:sz w:val="20"/>
        </w:rPr>
        <w:t>stanu</w:t>
      </w:r>
      <w:r>
        <w:rPr>
          <w:spacing w:val="-8"/>
          <w:sz w:val="20"/>
        </w:rPr>
        <w:t> </w:t>
      </w:r>
      <w:r>
        <w:rPr>
          <w:sz w:val="20"/>
        </w:rPr>
        <w:t>przedmiotu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wyceny,</w:t>
      </w:r>
    </w:p>
    <w:p>
      <w:pPr>
        <w:pStyle w:val="ListParagraph"/>
        <w:numPr>
          <w:ilvl w:val="1"/>
          <w:numId w:val="1"/>
        </w:numPr>
        <w:tabs>
          <w:tab w:pos="722" w:val="left" w:leader="none"/>
        </w:tabs>
        <w:spacing w:line="240" w:lineRule="auto" w:before="37" w:after="0"/>
        <w:ind w:left="722" w:right="0" w:hanging="360"/>
        <w:jc w:val="left"/>
        <w:rPr>
          <w:sz w:val="20"/>
        </w:rPr>
      </w:pPr>
      <w:r>
        <w:rPr>
          <w:spacing w:val="-2"/>
          <w:sz w:val="20"/>
        </w:rPr>
        <w:t>wskazanie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przeznaczenia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wycenianej</w:t>
      </w:r>
      <w:r>
        <w:rPr>
          <w:spacing w:val="11"/>
          <w:sz w:val="20"/>
        </w:rPr>
        <w:t> </w:t>
      </w:r>
      <w:r>
        <w:rPr>
          <w:spacing w:val="-2"/>
          <w:sz w:val="20"/>
        </w:rPr>
        <w:t>nieruchomości,</w:t>
      </w:r>
    </w:p>
    <w:p>
      <w:pPr>
        <w:pStyle w:val="ListParagraph"/>
        <w:numPr>
          <w:ilvl w:val="1"/>
          <w:numId w:val="1"/>
        </w:numPr>
        <w:tabs>
          <w:tab w:pos="722" w:val="left" w:leader="none"/>
        </w:tabs>
        <w:spacing w:line="240" w:lineRule="auto" w:before="37" w:after="0"/>
        <w:ind w:left="722" w:right="0" w:hanging="360"/>
        <w:jc w:val="left"/>
        <w:rPr>
          <w:sz w:val="20"/>
        </w:rPr>
      </w:pPr>
      <w:r>
        <w:rPr>
          <w:sz w:val="20"/>
        </w:rPr>
        <w:t>analiza</w:t>
      </w:r>
      <w:r>
        <w:rPr>
          <w:spacing w:val="-9"/>
          <w:sz w:val="20"/>
        </w:rPr>
        <w:t> </w:t>
      </w:r>
      <w:r>
        <w:rPr>
          <w:sz w:val="20"/>
        </w:rPr>
        <w:t>i</w:t>
      </w:r>
      <w:r>
        <w:rPr>
          <w:spacing w:val="-8"/>
          <w:sz w:val="20"/>
        </w:rPr>
        <w:t> </w:t>
      </w:r>
      <w:r>
        <w:rPr>
          <w:sz w:val="20"/>
        </w:rPr>
        <w:t>charakterystyka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rynku,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40" w:lineRule="auto" w:before="36" w:after="0"/>
        <w:ind w:left="719" w:right="0" w:hanging="357"/>
        <w:jc w:val="left"/>
        <w:rPr>
          <w:sz w:val="20"/>
        </w:rPr>
      </w:pPr>
      <w:r>
        <w:rPr>
          <w:sz w:val="20"/>
        </w:rPr>
        <w:t>przedstawienie</w:t>
      </w:r>
      <w:r>
        <w:rPr>
          <w:spacing w:val="-10"/>
          <w:sz w:val="20"/>
        </w:rPr>
        <w:t> </w:t>
      </w:r>
      <w:r>
        <w:rPr>
          <w:sz w:val="20"/>
        </w:rPr>
        <w:t>i</w:t>
      </w:r>
      <w:r>
        <w:rPr>
          <w:spacing w:val="-8"/>
          <w:sz w:val="20"/>
        </w:rPr>
        <w:t> </w:t>
      </w:r>
      <w:r>
        <w:rPr>
          <w:sz w:val="20"/>
        </w:rPr>
        <w:t>uzasadnienie</w:t>
      </w:r>
      <w:r>
        <w:rPr>
          <w:spacing w:val="-8"/>
          <w:sz w:val="20"/>
        </w:rPr>
        <w:t> </w:t>
      </w:r>
      <w:r>
        <w:rPr>
          <w:sz w:val="20"/>
        </w:rPr>
        <w:t>wyboru</w:t>
      </w:r>
      <w:r>
        <w:rPr>
          <w:spacing w:val="-8"/>
          <w:sz w:val="20"/>
        </w:rPr>
        <w:t> </w:t>
      </w:r>
      <w:r>
        <w:rPr>
          <w:sz w:val="20"/>
        </w:rPr>
        <w:t>podejścia,</w:t>
      </w:r>
      <w:r>
        <w:rPr>
          <w:spacing w:val="-8"/>
          <w:sz w:val="20"/>
        </w:rPr>
        <w:t> </w:t>
      </w:r>
      <w:r>
        <w:rPr>
          <w:sz w:val="20"/>
        </w:rPr>
        <w:t>metody</w:t>
      </w:r>
      <w:r>
        <w:rPr>
          <w:spacing w:val="-8"/>
          <w:sz w:val="20"/>
        </w:rPr>
        <w:t> </w:t>
      </w:r>
      <w:r>
        <w:rPr>
          <w:sz w:val="20"/>
        </w:rPr>
        <w:t>i</w:t>
      </w:r>
      <w:r>
        <w:rPr>
          <w:spacing w:val="-8"/>
          <w:sz w:val="20"/>
        </w:rPr>
        <w:t> </w:t>
      </w:r>
      <w:r>
        <w:rPr>
          <w:sz w:val="20"/>
        </w:rPr>
        <w:t>techniki</w:t>
      </w:r>
      <w:r>
        <w:rPr>
          <w:spacing w:val="-8"/>
          <w:sz w:val="20"/>
        </w:rPr>
        <w:t> </w:t>
      </w:r>
      <w:r>
        <w:rPr>
          <w:sz w:val="20"/>
        </w:rPr>
        <w:t>wyceny</w:t>
      </w:r>
      <w:r>
        <w:rPr>
          <w:spacing w:val="-8"/>
          <w:sz w:val="20"/>
        </w:rPr>
        <w:t> </w:t>
      </w:r>
      <w:r>
        <w:rPr>
          <w:sz w:val="20"/>
        </w:rPr>
        <w:t>oraz</w:t>
      </w:r>
      <w:r>
        <w:rPr>
          <w:spacing w:val="-8"/>
          <w:sz w:val="20"/>
        </w:rPr>
        <w:t> </w:t>
      </w:r>
      <w:r>
        <w:rPr>
          <w:sz w:val="20"/>
        </w:rPr>
        <w:t>wskazanie</w:t>
      </w:r>
      <w:r>
        <w:rPr>
          <w:spacing w:val="-9"/>
          <w:sz w:val="20"/>
        </w:rPr>
        <w:t> </w:t>
      </w:r>
      <w:r>
        <w:rPr>
          <w:sz w:val="20"/>
        </w:rPr>
        <w:t>rodzaju</w:t>
      </w:r>
      <w:r>
        <w:rPr>
          <w:spacing w:val="-8"/>
          <w:sz w:val="20"/>
        </w:rPr>
        <w:t> </w:t>
      </w:r>
      <w:r>
        <w:rPr>
          <w:sz w:val="20"/>
        </w:rPr>
        <w:t>określonej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wartości,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40" w:lineRule="auto" w:before="37" w:after="0"/>
        <w:ind w:left="719" w:right="0" w:hanging="357"/>
        <w:jc w:val="left"/>
        <w:rPr>
          <w:sz w:val="20"/>
        </w:rPr>
      </w:pPr>
      <w:r>
        <w:rPr>
          <w:sz w:val="20"/>
        </w:rPr>
        <w:t>określenie</w:t>
      </w:r>
      <w:r>
        <w:rPr>
          <w:spacing w:val="-9"/>
          <w:sz w:val="20"/>
        </w:rPr>
        <w:t> </w:t>
      </w:r>
      <w:r>
        <w:rPr>
          <w:sz w:val="20"/>
        </w:rPr>
        <w:t>aktualnej</w:t>
      </w:r>
      <w:r>
        <w:rPr>
          <w:spacing w:val="-7"/>
          <w:sz w:val="20"/>
        </w:rPr>
        <w:t> </w:t>
      </w:r>
      <w:r>
        <w:rPr>
          <w:sz w:val="20"/>
        </w:rPr>
        <w:t>wartości</w:t>
      </w:r>
      <w:r>
        <w:rPr>
          <w:spacing w:val="-6"/>
          <w:sz w:val="20"/>
        </w:rPr>
        <w:t> </w:t>
      </w:r>
      <w:r>
        <w:rPr>
          <w:sz w:val="20"/>
        </w:rPr>
        <w:t>rynkowej</w:t>
      </w:r>
      <w:r>
        <w:rPr>
          <w:spacing w:val="-7"/>
          <w:sz w:val="20"/>
        </w:rPr>
        <w:t> </w:t>
      </w:r>
      <w:r>
        <w:rPr>
          <w:sz w:val="20"/>
        </w:rPr>
        <w:t>nieruchomości</w:t>
      </w:r>
      <w:r>
        <w:rPr>
          <w:spacing w:val="-8"/>
          <w:sz w:val="20"/>
        </w:rPr>
        <w:t> </w:t>
      </w:r>
      <w:r>
        <w:rPr>
          <w:sz w:val="20"/>
        </w:rPr>
        <w:t>według</w:t>
      </w:r>
      <w:r>
        <w:rPr>
          <w:spacing w:val="-8"/>
          <w:sz w:val="20"/>
        </w:rPr>
        <w:t> </w:t>
      </w:r>
      <w:r>
        <w:rPr>
          <w:sz w:val="20"/>
        </w:rPr>
        <w:t>stanu</w:t>
      </w:r>
      <w:r>
        <w:rPr>
          <w:spacing w:val="-7"/>
          <w:sz w:val="20"/>
        </w:rPr>
        <w:t> </w:t>
      </w:r>
      <w:r>
        <w:rPr>
          <w:sz w:val="20"/>
        </w:rPr>
        <w:t>i</w:t>
      </w:r>
      <w:r>
        <w:rPr>
          <w:spacing w:val="-7"/>
          <w:sz w:val="20"/>
        </w:rPr>
        <w:t> </w:t>
      </w:r>
      <w:r>
        <w:rPr>
          <w:sz w:val="20"/>
        </w:rPr>
        <w:t>cen</w:t>
      </w:r>
      <w:r>
        <w:rPr>
          <w:spacing w:val="-7"/>
          <w:sz w:val="20"/>
        </w:rPr>
        <w:t> </w:t>
      </w:r>
      <w:r>
        <w:rPr>
          <w:sz w:val="20"/>
        </w:rPr>
        <w:t>na</w:t>
      </w:r>
      <w:r>
        <w:rPr>
          <w:spacing w:val="-7"/>
          <w:sz w:val="20"/>
        </w:rPr>
        <w:t> </w:t>
      </w:r>
      <w:r>
        <w:rPr>
          <w:sz w:val="20"/>
        </w:rPr>
        <w:t>dzień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wyceny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40" w:lineRule="auto" w:before="37" w:after="0"/>
        <w:ind w:left="719" w:right="0" w:hanging="357"/>
        <w:jc w:val="left"/>
        <w:rPr>
          <w:sz w:val="20"/>
        </w:rPr>
      </w:pPr>
      <w:r>
        <w:rPr>
          <w:sz w:val="20"/>
        </w:rPr>
        <w:t>uzasadnienie</w:t>
      </w:r>
      <w:r>
        <w:rPr>
          <w:spacing w:val="-9"/>
          <w:sz w:val="20"/>
        </w:rPr>
        <w:t> </w:t>
      </w:r>
      <w:r>
        <w:rPr>
          <w:sz w:val="20"/>
        </w:rPr>
        <w:t>ustalonej</w:t>
      </w:r>
      <w:r>
        <w:rPr>
          <w:spacing w:val="-9"/>
          <w:sz w:val="20"/>
        </w:rPr>
        <w:t> </w:t>
      </w:r>
      <w:r>
        <w:rPr>
          <w:sz w:val="20"/>
        </w:rPr>
        <w:t>wartości</w:t>
      </w:r>
      <w:r>
        <w:rPr>
          <w:spacing w:val="-9"/>
          <w:sz w:val="20"/>
        </w:rPr>
        <w:t> </w:t>
      </w:r>
      <w:r>
        <w:rPr>
          <w:sz w:val="20"/>
        </w:rPr>
        <w:t>rynkowej</w:t>
      </w:r>
      <w:r>
        <w:rPr>
          <w:spacing w:val="-7"/>
          <w:sz w:val="20"/>
        </w:rPr>
        <w:t> </w:t>
      </w:r>
      <w:r>
        <w:rPr>
          <w:sz w:val="20"/>
        </w:rPr>
        <w:t>wraz</w:t>
      </w:r>
      <w:r>
        <w:rPr>
          <w:spacing w:val="-6"/>
          <w:sz w:val="20"/>
        </w:rPr>
        <w:t> </w:t>
      </w:r>
      <w:r>
        <w:rPr>
          <w:sz w:val="20"/>
        </w:rPr>
        <w:t>z</w:t>
      </w:r>
      <w:r>
        <w:rPr>
          <w:spacing w:val="-9"/>
          <w:sz w:val="20"/>
        </w:rPr>
        <w:t> </w:t>
      </w:r>
      <w:r>
        <w:rPr>
          <w:sz w:val="20"/>
        </w:rPr>
        <w:t>przedstawieniem</w:t>
      </w:r>
      <w:r>
        <w:rPr>
          <w:spacing w:val="-9"/>
          <w:sz w:val="20"/>
        </w:rPr>
        <w:t> </w:t>
      </w:r>
      <w:r>
        <w:rPr>
          <w:sz w:val="20"/>
        </w:rPr>
        <w:t>przyjętych</w:t>
      </w:r>
      <w:r>
        <w:rPr>
          <w:spacing w:val="-9"/>
          <w:sz w:val="20"/>
        </w:rPr>
        <w:t> </w:t>
      </w:r>
      <w:r>
        <w:rPr>
          <w:sz w:val="20"/>
        </w:rPr>
        <w:t>założeń</w:t>
      </w:r>
      <w:r>
        <w:rPr>
          <w:spacing w:val="-9"/>
          <w:sz w:val="20"/>
        </w:rPr>
        <w:t> </w:t>
      </w:r>
      <w:r>
        <w:rPr>
          <w:sz w:val="20"/>
        </w:rPr>
        <w:t>i</w:t>
      </w:r>
      <w:r>
        <w:rPr>
          <w:spacing w:val="-8"/>
          <w:sz w:val="20"/>
        </w:rPr>
        <w:t> </w:t>
      </w:r>
      <w:r>
        <w:rPr>
          <w:sz w:val="20"/>
        </w:rPr>
        <w:t>niezbędnych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obliczeń,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40" w:lineRule="auto" w:before="36" w:after="0"/>
        <w:ind w:left="719" w:right="0" w:hanging="357"/>
        <w:jc w:val="left"/>
        <w:rPr>
          <w:sz w:val="20"/>
        </w:rPr>
      </w:pPr>
      <w:r>
        <w:rPr>
          <w:sz w:val="20"/>
        </w:rPr>
        <w:t>wynik</w:t>
      </w:r>
      <w:r>
        <w:rPr>
          <w:spacing w:val="-5"/>
          <w:sz w:val="20"/>
        </w:rPr>
        <w:t> </w:t>
      </w:r>
      <w:r>
        <w:rPr>
          <w:sz w:val="20"/>
        </w:rPr>
        <w:t>końcowy</w:t>
      </w:r>
      <w:r>
        <w:rPr>
          <w:spacing w:val="-5"/>
          <w:sz w:val="20"/>
        </w:rPr>
        <w:t> </w:t>
      </w:r>
      <w:r>
        <w:rPr>
          <w:sz w:val="20"/>
        </w:rPr>
        <w:t>wraz</w:t>
      </w:r>
      <w:r>
        <w:rPr>
          <w:spacing w:val="-5"/>
          <w:sz w:val="20"/>
        </w:rPr>
        <w:t> </w:t>
      </w:r>
      <w:r>
        <w:rPr>
          <w:sz w:val="20"/>
        </w:rPr>
        <w:t>z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uzasadnieniem,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40" w:lineRule="auto" w:before="37" w:after="0"/>
        <w:ind w:left="719" w:right="0" w:hanging="357"/>
        <w:jc w:val="left"/>
        <w:rPr>
          <w:sz w:val="20"/>
        </w:rPr>
      </w:pPr>
      <w:r>
        <w:rPr>
          <w:spacing w:val="-2"/>
          <w:sz w:val="20"/>
        </w:rPr>
        <w:t>klauzule,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  <w:tab w:pos="722" w:val="left" w:leader="none"/>
        </w:tabs>
        <w:spacing w:line="276" w:lineRule="auto" w:before="37" w:after="0"/>
        <w:ind w:left="722" w:right="303" w:hanging="360"/>
        <w:jc w:val="left"/>
        <w:rPr>
          <w:sz w:val="20"/>
        </w:rPr>
      </w:pPr>
      <w:r>
        <w:rPr>
          <w:sz w:val="20"/>
        </w:rPr>
        <w:t>podpis</w:t>
      </w:r>
      <w:r>
        <w:rPr>
          <w:spacing w:val="77"/>
          <w:sz w:val="20"/>
        </w:rPr>
        <w:t> </w:t>
      </w:r>
      <w:r>
        <w:rPr>
          <w:sz w:val="20"/>
        </w:rPr>
        <w:t>autora</w:t>
      </w:r>
      <w:r>
        <w:rPr>
          <w:spacing w:val="78"/>
          <w:sz w:val="20"/>
        </w:rPr>
        <w:t> </w:t>
      </w:r>
      <w:r>
        <w:rPr>
          <w:sz w:val="20"/>
        </w:rPr>
        <w:t>(autorów)</w:t>
      </w:r>
      <w:r>
        <w:rPr>
          <w:spacing w:val="78"/>
          <w:sz w:val="20"/>
        </w:rPr>
        <w:t> </w:t>
      </w:r>
      <w:r>
        <w:rPr>
          <w:sz w:val="20"/>
        </w:rPr>
        <w:t>operatu</w:t>
      </w:r>
      <w:r>
        <w:rPr>
          <w:spacing w:val="79"/>
          <w:sz w:val="20"/>
        </w:rPr>
        <w:t> </w:t>
      </w:r>
      <w:r>
        <w:rPr>
          <w:sz w:val="20"/>
        </w:rPr>
        <w:t>szacunkowego</w:t>
      </w:r>
      <w:r>
        <w:rPr>
          <w:spacing w:val="78"/>
          <w:sz w:val="20"/>
        </w:rPr>
        <w:t> </w:t>
      </w:r>
      <w:r>
        <w:rPr>
          <w:sz w:val="20"/>
        </w:rPr>
        <w:t>z</w:t>
      </w:r>
      <w:r>
        <w:rPr>
          <w:spacing w:val="78"/>
          <w:sz w:val="20"/>
        </w:rPr>
        <w:t> </w:t>
      </w:r>
      <w:r>
        <w:rPr>
          <w:sz w:val="20"/>
        </w:rPr>
        <w:t>użyciem</w:t>
      </w:r>
      <w:r>
        <w:rPr>
          <w:spacing w:val="77"/>
          <w:sz w:val="20"/>
        </w:rPr>
        <w:t> </w:t>
      </w:r>
      <w:r>
        <w:rPr>
          <w:sz w:val="20"/>
        </w:rPr>
        <w:t>pieczęci</w:t>
      </w:r>
      <w:r>
        <w:rPr>
          <w:spacing w:val="78"/>
          <w:sz w:val="20"/>
        </w:rPr>
        <w:t> </w:t>
      </w:r>
      <w:r>
        <w:rPr>
          <w:sz w:val="20"/>
        </w:rPr>
        <w:t>zawodowej</w:t>
      </w:r>
      <w:r>
        <w:rPr>
          <w:spacing w:val="78"/>
          <w:sz w:val="20"/>
        </w:rPr>
        <w:t> </w:t>
      </w:r>
      <w:r>
        <w:rPr>
          <w:sz w:val="20"/>
        </w:rPr>
        <w:t>o</w:t>
      </w:r>
      <w:r>
        <w:rPr>
          <w:spacing w:val="78"/>
          <w:sz w:val="20"/>
        </w:rPr>
        <w:t> </w:t>
      </w:r>
      <w:r>
        <w:rPr>
          <w:sz w:val="20"/>
        </w:rPr>
        <w:t>wzorze</w:t>
      </w:r>
      <w:r>
        <w:rPr>
          <w:spacing w:val="78"/>
          <w:sz w:val="20"/>
        </w:rPr>
        <w:t> </w:t>
      </w:r>
      <w:r>
        <w:rPr>
          <w:sz w:val="20"/>
        </w:rPr>
        <w:t>ustalonym</w:t>
      </w:r>
      <w:r>
        <w:rPr>
          <w:spacing w:val="77"/>
          <w:sz w:val="20"/>
        </w:rPr>
        <w:t> </w:t>
      </w:r>
      <w:r>
        <w:rPr>
          <w:sz w:val="20"/>
        </w:rPr>
        <w:t>zgodnie</w:t>
      </w:r>
      <w:r>
        <w:rPr>
          <w:spacing w:val="77"/>
          <w:sz w:val="20"/>
        </w:rPr>
        <w:t> </w:t>
      </w:r>
      <w:r>
        <w:rPr>
          <w:sz w:val="20"/>
        </w:rPr>
        <w:t>ze standardami zawodowymi,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40" w:lineRule="auto" w:before="0" w:after="0"/>
        <w:ind w:left="719" w:right="0" w:hanging="357"/>
        <w:jc w:val="left"/>
        <w:rPr>
          <w:sz w:val="20"/>
        </w:rPr>
      </w:pPr>
      <w:r>
        <w:rPr>
          <w:sz w:val="20"/>
        </w:rPr>
        <w:t>ustalenia</w:t>
      </w:r>
      <w:r>
        <w:rPr>
          <w:spacing w:val="-8"/>
          <w:sz w:val="20"/>
        </w:rPr>
        <w:t> </w:t>
      </w:r>
      <w:r>
        <w:rPr>
          <w:sz w:val="20"/>
        </w:rPr>
        <w:t>dodatkowe</w:t>
      </w:r>
      <w:r>
        <w:rPr>
          <w:spacing w:val="-8"/>
          <w:sz w:val="20"/>
        </w:rPr>
        <w:t> </w:t>
      </w:r>
      <w:r>
        <w:rPr>
          <w:sz w:val="20"/>
        </w:rPr>
        <w:t>i</w:t>
      </w:r>
      <w:r>
        <w:rPr>
          <w:spacing w:val="-7"/>
          <w:sz w:val="20"/>
        </w:rPr>
        <w:t> </w:t>
      </w:r>
      <w:r>
        <w:rPr>
          <w:sz w:val="20"/>
        </w:rPr>
        <w:t>załączniki,</w:t>
      </w:r>
      <w:r>
        <w:rPr>
          <w:spacing w:val="-8"/>
          <w:sz w:val="20"/>
        </w:rPr>
        <w:t> </w:t>
      </w:r>
      <w:r>
        <w:rPr>
          <w:sz w:val="20"/>
        </w:rPr>
        <w:t>których</w:t>
      </w:r>
      <w:r>
        <w:rPr>
          <w:spacing w:val="-7"/>
          <w:sz w:val="20"/>
        </w:rPr>
        <w:t> </w:t>
      </w:r>
      <w:r>
        <w:rPr>
          <w:sz w:val="20"/>
        </w:rPr>
        <w:t>zamieszczenie</w:t>
      </w:r>
      <w:r>
        <w:rPr>
          <w:spacing w:val="-6"/>
          <w:sz w:val="20"/>
        </w:rPr>
        <w:t> </w:t>
      </w:r>
      <w:r>
        <w:rPr>
          <w:sz w:val="20"/>
        </w:rPr>
        <w:t>jest</w:t>
      </w:r>
      <w:r>
        <w:rPr>
          <w:spacing w:val="-7"/>
          <w:sz w:val="20"/>
        </w:rPr>
        <w:t> </w:t>
      </w:r>
      <w:r>
        <w:rPr>
          <w:sz w:val="20"/>
        </w:rPr>
        <w:t>zgodne</w:t>
      </w:r>
      <w:r>
        <w:rPr>
          <w:spacing w:val="-8"/>
          <w:sz w:val="20"/>
        </w:rPr>
        <w:t> </w:t>
      </w:r>
      <w:r>
        <w:rPr>
          <w:sz w:val="20"/>
        </w:rPr>
        <w:t>z</w:t>
      </w:r>
      <w:r>
        <w:rPr>
          <w:spacing w:val="-7"/>
          <w:sz w:val="20"/>
        </w:rPr>
        <w:t> </w:t>
      </w:r>
      <w:r>
        <w:rPr>
          <w:sz w:val="20"/>
        </w:rPr>
        <w:t>wytycznymi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Banku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  <w:tab w:pos="722" w:val="left" w:leader="none"/>
        </w:tabs>
        <w:spacing w:line="276" w:lineRule="auto" w:before="37" w:after="0"/>
        <w:ind w:left="722" w:right="301" w:hanging="360"/>
        <w:jc w:val="left"/>
        <w:rPr>
          <w:sz w:val="20"/>
        </w:rPr>
      </w:pPr>
      <w:r>
        <w:rPr>
          <w:sz w:val="20"/>
        </w:rPr>
        <w:t>ocena przydatności nieruchomości na zabezpieczenie wierzytelności (dodatkowy punkt w operacie szacunkowym zgodnie ze standardem KSWS3</w:t>
      </w:r>
      <w:r>
        <w:rPr>
          <w:spacing w:val="40"/>
          <w:sz w:val="20"/>
        </w:rPr>
        <w:t> </w:t>
      </w:r>
      <w:r>
        <w:rPr>
          <w:sz w:val="20"/>
        </w:rPr>
        <w:t>Wycena dla potrzeb zabezpieczenia wierzytelności”),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  <w:tab w:pos="722" w:val="left" w:leader="none"/>
        </w:tabs>
        <w:spacing w:line="276" w:lineRule="auto" w:before="0" w:after="0"/>
        <w:ind w:left="722" w:right="308" w:hanging="360"/>
        <w:jc w:val="left"/>
        <w:rPr>
          <w:sz w:val="20"/>
        </w:rPr>
      </w:pPr>
      <w:r>
        <w:rPr>
          <w:sz w:val="20"/>
        </w:rPr>
        <w:t>opinia</w:t>
      </w:r>
      <w:r>
        <w:rPr>
          <w:spacing w:val="40"/>
          <w:sz w:val="20"/>
        </w:rPr>
        <w:t> </w:t>
      </w:r>
      <w:r>
        <w:rPr>
          <w:sz w:val="20"/>
        </w:rPr>
        <w:t>o</w:t>
      </w:r>
      <w:r>
        <w:rPr>
          <w:spacing w:val="40"/>
          <w:sz w:val="20"/>
        </w:rPr>
        <w:t> </w:t>
      </w:r>
      <w:r>
        <w:rPr>
          <w:sz w:val="20"/>
        </w:rPr>
        <w:t>obszarach</w:t>
      </w:r>
      <w:r>
        <w:rPr>
          <w:spacing w:val="40"/>
          <w:sz w:val="20"/>
        </w:rPr>
        <w:t> </w:t>
      </w:r>
      <w:r>
        <w:rPr>
          <w:sz w:val="20"/>
        </w:rPr>
        <w:t>ryzyka</w:t>
      </w:r>
      <w:r>
        <w:rPr>
          <w:spacing w:val="40"/>
          <w:sz w:val="20"/>
        </w:rPr>
        <w:t> </w:t>
      </w:r>
      <w:r>
        <w:rPr>
          <w:sz w:val="20"/>
        </w:rPr>
        <w:t>związanych</w:t>
      </w:r>
      <w:r>
        <w:rPr>
          <w:spacing w:val="40"/>
          <w:sz w:val="20"/>
        </w:rPr>
        <w:t> </w:t>
      </w:r>
      <w:r>
        <w:rPr>
          <w:sz w:val="20"/>
        </w:rPr>
        <w:t>z</w:t>
      </w:r>
      <w:r>
        <w:rPr>
          <w:spacing w:val="40"/>
          <w:sz w:val="20"/>
        </w:rPr>
        <w:t> </w:t>
      </w:r>
      <w:r>
        <w:rPr>
          <w:sz w:val="20"/>
        </w:rPr>
        <w:t>wycenianą</w:t>
      </w:r>
      <w:r>
        <w:rPr>
          <w:spacing w:val="40"/>
          <w:sz w:val="20"/>
        </w:rPr>
        <w:t> </w:t>
      </w:r>
      <w:r>
        <w:rPr>
          <w:sz w:val="20"/>
        </w:rPr>
        <w:t>nieruchomością</w:t>
      </w:r>
      <w:r>
        <w:rPr>
          <w:spacing w:val="40"/>
          <w:sz w:val="20"/>
        </w:rPr>
        <w:t> </w:t>
      </w:r>
      <w:r>
        <w:rPr>
          <w:sz w:val="20"/>
        </w:rPr>
        <w:t>(załącznik</w:t>
      </w:r>
      <w:r>
        <w:rPr>
          <w:spacing w:val="40"/>
          <w:sz w:val="20"/>
        </w:rPr>
        <w:t> </w:t>
      </w:r>
      <w:r>
        <w:rPr>
          <w:sz w:val="20"/>
        </w:rPr>
        <w:t>do</w:t>
      </w:r>
      <w:r>
        <w:rPr>
          <w:spacing w:val="40"/>
          <w:sz w:val="20"/>
        </w:rPr>
        <w:t> </w:t>
      </w:r>
      <w:r>
        <w:rPr>
          <w:sz w:val="20"/>
        </w:rPr>
        <w:t>operatu</w:t>
      </w:r>
      <w:r>
        <w:rPr>
          <w:spacing w:val="40"/>
          <w:sz w:val="20"/>
        </w:rPr>
        <w:t> </w:t>
      </w:r>
      <w:r>
        <w:rPr>
          <w:sz w:val="20"/>
        </w:rPr>
        <w:t>szacunkowego</w:t>
      </w:r>
      <w:r>
        <w:rPr>
          <w:spacing w:val="40"/>
          <w:sz w:val="20"/>
        </w:rPr>
        <w:t> </w:t>
      </w:r>
      <w:r>
        <w:rPr>
          <w:sz w:val="20"/>
        </w:rPr>
        <w:t>zgodnie</w:t>
      </w:r>
      <w:r>
        <w:rPr>
          <w:spacing w:val="40"/>
          <w:sz w:val="20"/>
        </w:rPr>
        <w:t> </w:t>
      </w:r>
      <w:r>
        <w:rPr>
          <w:sz w:val="20"/>
        </w:rPr>
        <w:t>ze standardem KSWS3</w:t>
      </w:r>
      <w:r>
        <w:rPr>
          <w:spacing w:val="40"/>
          <w:sz w:val="20"/>
        </w:rPr>
        <w:t> </w:t>
      </w:r>
      <w:r>
        <w:rPr>
          <w:sz w:val="20"/>
        </w:rPr>
        <w:t>„ Wycena dla potrzeb zabezpieczenia wierzytelności”).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  <w:tab w:pos="722" w:val="left" w:leader="none"/>
        </w:tabs>
        <w:spacing w:line="276" w:lineRule="auto" w:before="0" w:after="0"/>
        <w:ind w:left="722" w:right="296" w:hanging="360"/>
        <w:jc w:val="left"/>
        <w:rPr>
          <w:sz w:val="20"/>
        </w:rPr>
      </w:pPr>
      <w:r>
        <w:rPr>
          <w:sz w:val="20"/>
        </w:rPr>
        <w:t>dokładne informację i zdjęcia wszystkich zabudowań znajdujących się</w:t>
      </w:r>
      <w:r>
        <w:rPr>
          <w:spacing w:val="40"/>
          <w:sz w:val="20"/>
        </w:rPr>
        <w:t> </w:t>
      </w:r>
      <w:r>
        <w:rPr>
          <w:sz w:val="20"/>
        </w:rPr>
        <w:t>na wycenianej nieruchomości. Nawet jeżeli w ocenie rzeczoznawcy nie wpływają na wartość rynkową lub nie są uwzględnione w wycenie.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40" w:lineRule="auto" w:before="0" w:after="0"/>
        <w:ind w:left="719" w:right="0" w:hanging="357"/>
        <w:jc w:val="left"/>
        <w:rPr>
          <w:sz w:val="20"/>
        </w:rPr>
      </w:pPr>
      <w:r>
        <w:rPr>
          <w:sz w:val="20"/>
        </w:rPr>
        <w:t>W</w:t>
      </w:r>
      <w:r>
        <w:rPr>
          <w:spacing w:val="-11"/>
          <w:sz w:val="20"/>
        </w:rPr>
        <w:t> </w:t>
      </w:r>
      <w:r>
        <w:rPr>
          <w:sz w:val="20"/>
        </w:rPr>
        <w:t>przypadku</w:t>
      </w:r>
      <w:r>
        <w:rPr>
          <w:spacing w:val="-11"/>
          <w:sz w:val="20"/>
        </w:rPr>
        <w:t> </w:t>
      </w:r>
      <w:r>
        <w:rPr>
          <w:sz w:val="20"/>
        </w:rPr>
        <w:t>aktualizacji</w:t>
      </w:r>
      <w:r>
        <w:rPr>
          <w:spacing w:val="-11"/>
          <w:sz w:val="20"/>
        </w:rPr>
        <w:t> </w:t>
      </w:r>
      <w:r>
        <w:rPr>
          <w:sz w:val="20"/>
        </w:rPr>
        <w:t>operatu</w:t>
      </w:r>
      <w:r>
        <w:rPr>
          <w:spacing w:val="-10"/>
          <w:sz w:val="20"/>
        </w:rPr>
        <w:t> </w:t>
      </w:r>
      <w:r>
        <w:rPr>
          <w:sz w:val="20"/>
        </w:rPr>
        <w:t>szacunkowego</w:t>
      </w:r>
      <w:r>
        <w:rPr>
          <w:spacing w:val="-9"/>
          <w:sz w:val="20"/>
        </w:rPr>
        <w:t> </w:t>
      </w:r>
      <w:r>
        <w:rPr>
          <w:sz w:val="20"/>
        </w:rPr>
        <w:t>rzeczoznawca</w:t>
      </w:r>
      <w:r>
        <w:rPr>
          <w:spacing w:val="-10"/>
          <w:sz w:val="20"/>
        </w:rPr>
        <w:t> </w:t>
      </w:r>
      <w:r>
        <w:rPr>
          <w:sz w:val="20"/>
        </w:rPr>
        <w:t>powinien</w:t>
      </w:r>
      <w:r>
        <w:rPr>
          <w:spacing w:val="-10"/>
          <w:sz w:val="20"/>
        </w:rPr>
        <w:t> </w:t>
      </w:r>
      <w:r>
        <w:rPr>
          <w:sz w:val="20"/>
        </w:rPr>
        <w:t>załączyć</w:t>
      </w:r>
      <w:r>
        <w:rPr>
          <w:spacing w:val="-3"/>
          <w:sz w:val="20"/>
        </w:rPr>
        <w:t> </w:t>
      </w:r>
      <w:r>
        <w:rPr>
          <w:sz w:val="20"/>
        </w:rPr>
        <w:t>aktualną</w:t>
      </w:r>
      <w:r>
        <w:rPr>
          <w:spacing w:val="-9"/>
          <w:sz w:val="20"/>
        </w:rPr>
        <w:t> </w:t>
      </w:r>
      <w:r>
        <w:rPr>
          <w:sz w:val="20"/>
        </w:rPr>
        <w:t>dokumentację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zdjęciową.</w:t>
      </w:r>
    </w:p>
    <w:p>
      <w:pPr>
        <w:pStyle w:val="BodyText"/>
        <w:ind w:left="0" w:firstLine="0"/>
      </w:pPr>
    </w:p>
    <w:p>
      <w:pPr>
        <w:pStyle w:val="BodyText"/>
        <w:spacing w:before="153"/>
        <w:ind w:left="0" w:firstLine="0"/>
      </w:pPr>
    </w:p>
    <w:p>
      <w:pPr>
        <w:pStyle w:val="Heading1"/>
        <w:numPr>
          <w:ilvl w:val="0"/>
          <w:numId w:val="1"/>
        </w:numPr>
        <w:tabs>
          <w:tab w:pos="1015" w:val="left" w:leader="none"/>
        </w:tabs>
        <w:spacing w:line="240" w:lineRule="auto" w:before="0" w:after="0"/>
        <w:ind w:left="1015" w:right="0" w:hanging="605"/>
        <w:jc w:val="left"/>
      </w:pPr>
      <w:r>
        <w:rPr>
          <w:spacing w:val="-2"/>
        </w:rPr>
        <w:t>Informacje</w:t>
      </w:r>
      <w:r>
        <w:rPr>
          <w:spacing w:val="-4"/>
        </w:rPr>
        <w:t> </w:t>
      </w:r>
      <w:r>
        <w:rPr>
          <w:spacing w:val="-2"/>
        </w:rPr>
        <w:t>uzupełniające</w:t>
      </w:r>
    </w:p>
    <w:p>
      <w:pPr>
        <w:pStyle w:val="ListParagraph"/>
        <w:numPr>
          <w:ilvl w:val="1"/>
          <w:numId w:val="1"/>
        </w:numPr>
        <w:tabs>
          <w:tab w:pos="722" w:val="left" w:leader="none"/>
        </w:tabs>
        <w:spacing w:line="240" w:lineRule="auto" w:before="104" w:after="0"/>
        <w:ind w:left="722" w:right="0" w:hanging="360"/>
        <w:jc w:val="left"/>
        <w:rPr>
          <w:sz w:val="20"/>
        </w:rPr>
      </w:pPr>
      <w:r>
        <w:rPr>
          <w:sz w:val="20"/>
        </w:rPr>
        <w:t>ocena</w:t>
      </w:r>
      <w:r>
        <w:rPr>
          <w:spacing w:val="-10"/>
          <w:sz w:val="20"/>
        </w:rPr>
        <w:t> </w:t>
      </w:r>
      <w:r>
        <w:rPr>
          <w:sz w:val="20"/>
        </w:rPr>
        <w:t>stanu</w:t>
      </w:r>
      <w:r>
        <w:rPr>
          <w:spacing w:val="-10"/>
          <w:sz w:val="20"/>
        </w:rPr>
        <w:t> </w:t>
      </w:r>
      <w:r>
        <w:rPr>
          <w:sz w:val="20"/>
        </w:rPr>
        <w:t>technicznego</w:t>
      </w:r>
      <w:r>
        <w:rPr>
          <w:spacing w:val="-9"/>
          <w:sz w:val="20"/>
        </w:rPr>
        <w:t> </w:t>
      </w:r>
      <w:r>
        <w:rPr>
          <w:sz w:val="20"/>
        </w:rPr>
        <w:t>nieruchomości,</w:t>
      </w:r>
      <w:r>
        <w:rPr>
          <w:spacing w:val="-8"/>
          <w:sz w:val="20"/>
        </w:rPr>
        <w:t> </w:t>
      </w:r>
      <w:r>
        <w:rPr>
          <w:sz w:val="20"/>
        </w:rPr>
        <w:t>w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tym:</w:t>
      </w:r>
    </w:p>
    <w:p>
      <w:pPr>
        <w:pStyle w:val="ListParagraph"/>
        <w:numPr>
          <w:ilvl w:val="2"/>
          <w:numId w:val="1"/>
        </w:numPr>
        <w:tabs>
          <w:tab w:pos="1147" w:val="left" w:leader="none"/>
        </w:tabs>
        <w:spacing w:line="240" w:lineRule="auto" w:before="36" w:after="0"/>
        <w:ind w:left="1147" w:right="0" w:hanging="360"/>
        <w:jc w:val="left"/>
        <w:rPr>
          <w:sz w:val="20"/>
        </w:rPr>
      </w:pPr>
      <w:r>
        <w:rPr>
          <w:sz w:val="20"/>
        </w:rPr>
        <w:t>rok</w:t>
      </w:r>
      <w:r>
        <w:rPr>
          <w:spacing w:val="-7"/>
          <w:sz w:val="20"/>
        </w:rPr>
        <w:t> </w:t>
      </w:r>
      <w:r>
        <w:rPr>
          <w:sz w:val="20"/>
        </w:rPr>
        <w:t>budowy,</w:t>
      </w:r>
      <w:r>
        <w:rPr>
          <w:spacing w:val="-7"/>
          <w:sz w:val="20"/>
        </w:rPr>
        <w:t> </w:t>
      </w:r>
      <w:r>
        <w:rPr>
          <w:sz w:val="20"/>
        </w:rPr>
        <w:t>rok</w:t>
      </w:r>
      <w:r>
        <w:rPr>
          <w:spacing w:val="-7"/>
          <w:sz w:val="20"/>
        </w:rPr>
        <w:t> </w:t>
      </w:r>
      <w:r>
        <w:rPr>
          <w:sz w:val="20"/>
        </w:rPr>
        <w:t>remontu</w:t>
      </w:r>
      <w:r>
        <w:rPr>
          <w:spacing w:val="-7"/>
          <w:sz w:val="20"/>
        </w:rPr>
        <w:t> </w:t>
      </w:r>
      <w:r>
        <w:rPr>
          <w:sz w:val="20"/>
        </w:rPr>
        <w:t>(modernizacji)</w:t>
      </w:r>
      <w:r>
        <w:rPr>
          <w:spacing w:val="-4"/>
          <w:sz w:val="20"/>
        </w:rPr>
        <w:t> </w:t>
      </w:r>
      <w:r>
        <w:rPr>
          <w:sz w:val="20"/>
        </w:rPr>
        <w:t>–</w:t>
      </w:r>
      <w:r>
        <w:rPr>
          <w:spacing w:val="-8"/>
          <w:sz w:val="20"/>
        </w:rPr>
        <w:t> </w:t>
      </w:r>
      <w:r>
        <w:rPr>
          <w:sz w:val="20"/>
        </w:rPr>
        <w:t>jeśli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dotyczy,</w:t>
      </w:r>
    </w:p>
    <w:p>
      <w:pPr>
        <w:pStyle w:val="ListParagraph"/>
        <w:numPr>
          <w:ilvl w:val="2"/>
          <w:numId w:val="1"/>
        </w:numPr>
        <w:tabs>
          <w:tab w:pos="1147" w:val="left" w:leader="none"/>
        </w:tabs>
        <w:spacing w:line="240" w:lineRule="auto" w:before="37" w:after="0"/>
        <w:ind w:left="1147" w:right="0" w:hanging="360"/>
        <w:jc w:val="left"/>
        <w:rPr>
          <w:sz w:val="20"/>
        </w:rPr>
      </w:pPr>
      <w:r>
        <w:rPr>
          <w:sz w:val="20"/>
        </w:rPr>
        <w:t>stan</w:t>
      </w:r>
      <w:r>
        <w:rPr>
          <w:spacing w:val="-8"/>
          <w:sz w:val="20"/>
        </w:rPr>
        <w:t> </w:t>
      </w:r>
      <w:r>
        <w:rPr>
          <w:sz w:val="20"/>
        </w:rPr>
        <w:t>konstrukcji</w:t>
      </w:r>
      <w:r>
        <w:rPr>
          <w:spacing w:val="-8"/>
          <w:sz w:val="20"/>
        </w:rPr>
        <w:t> </w:t>
      </w:r>
      <w:r>
        <w:rPr>
          <w:sz w:val="20"/>
        </w:rPr>
        <w:t>i</w:t>
      </w:r>
      <w:r>
        <w:rPr>
          <w:spacing w:val="-8"/>
          <w:sz w:val="20"/>
        </w:rPr>
        <w:t> </w:t>
      </w:r>
      <w:r>
        <w:rPr>
          <w:sz w:val="20"/>
        </w:rPr>
        <w:t>ogólny</w:t>
      </w:r>
      <w:r>
        <w:rPr>
          <w:spacing w:val="-7"/>
          <w:sz w:val="20"/>
        </w:rPr>
        <w:t> </w:t>
      </w:r>
      <w:r>
        <w:rPr>
          <w:sz w:val="20"/>
        </w:rPr>
        <w:t>stan</w:t>
      </w:r>
      <w:r>
        <w:rPr>
          <w:spacing w:val="-7"/>
          <w:sz w:val="20"/>
        </w:rPr>
        <w:t> </w:t>
      </w:r>
      <w:r>
        <w:rPr>
          <w:sz w:val="20"/>
        </w:rPr>
        <w:t>utrzymania,</w:t>
      </w:r>
      <w:r>
        <w:rPr>
          <w:spacing w:val="-8"/>
          <w:sz w:val="20"/>
        </w:rPr>
        <w:t> </w:t>
      </w:r>
      <w:r>
        <w:rPr>
          <w:sz w:val="20"/>
        </w:rPr>
        <w:t>standard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wykończenia,</w:t>
      </w:r>
    </w:p>
    <w:p>
      <w:pPr>
        <w:pStyle w:val="ListParagraph"/>
        <w:numPr>
          <w:ilvl w:val="2"/>
          <w:numId w:val="1"/>
        </w:numPr>
        <w:tabs>
          <w:tab w:pos="1147" w:val="left" w:leader="none"/>
        </w:tabs>
        <w:spacing w:line="240" w:lineRule="auto" w:before="37" w:after="0"/>
        <w:ind w:left="1147" w:right="0" w:hanging="360"/>
        <w:jc w:val="left"/>
        <w:rPr>
          <w:sz w:val="20"/>
        </w:rPr>
      </w:pPr>
      <w:r>
        <w:rPr>
          <w:sz w:val="20"/>
        </w:rPr>
        <w:t>szacunkowa</w:t>
      </w:r>
      <w:r>
        <w:rPr>
          <w:spacing w:val="-12"/>
          <w:sz w:val="20"/>
        </w:rPr>
        <w:t> </w:t>
      </w:r>
      <w:r>
        <w:rPr>
          <w:sz w:val="20"/>
        </w:rPr>
        <w:t>ocena</w:t>
      </w:r>
      <w:r>
        <w:rPr>
          <w:spacing w:val="-11"/>
          <w:sz w:val="20"/>
        </w:rPr>
        <w:t> </w:t>
      </w:r>
      <w:r>
        <w:rPr>
          <w:sz w:val="20"/>
        </w:rPr>
        <w:t>pozostałego</w:t>
      </w:r>
      <w:r>
        <w:rPr>
          <w:spacing w:val="-11"/>
          <w:sz w:val="20"/>
        </w:rPr>
        <w:t> </w:t>
      </w:r>
      <w:r>
        <w:rPr>
          <w:sz w:val="20"/>
        </w:rPr>
        <w:t>okresu</w:t>
      </w:r>
      <w:r>
        <w:rPr>
          <w:spacing w:val="-12"/>
          <w:sz w:val="20"/>
        </w:rPr>
        <w:t> </w:t>
      </w:r>
      <w:r>
        <w:rPr>
          <w:sz w:val="20"/>
        </w:rPr>
        <w:t>eksploatacji</w:t>
      </w:r>
      <w:r>
        <w:rPr>
          <w:spacing w:val="-10"/>
          <w:sz w:val="20"/>
        </w:rPr>
        <w:t> </w:t>
      </w:r>
      <w:r>
        <w:rPr>
          <w:sz w:val="20"/>
        </w:rPr>
        <w:t>ekonomicznej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budynku.</w:t>
      </w:r>
    </w:p>
    <w:p>
      <w:pPr>
        <w:pStyle w:val="ListParagraph"/>
        <w:numPr>
          <w:ilvl w:val="1"/>
          <w:numId w:val="1"/>
        </w:numPr>
        <w:tabs>
          <w:tab w:pos="722" w:val="left" w:leader="none"/>
        </w:tabs>
        <w:spacing w:line="240" w:lineRule="auto" w:before="36" w:after="0"/>
        <w:ind w:left="722" w:right="0" w:hanging="360"/>
        <w:jc w:val="left"/>
        <w:rPr>
          <w:sz w:val="20"/>
        </w:rPr>
      </w:pPr>
      <w:r>
        <w:rPr>
          <w:sz w:val="20"/>
        </w:rPr>
        <w:t>przypadku</w:t>
      </w:r>
      <w:r>
        <w:rPr>
          <w:spacing w:val="-11"/>
          <w:sz w:val="20"/>
        </w:rPr>
        <w:t> </w:t>
      </w:r>
      <w:r>
        <w:rPr>
          <w:sz w:val="20"/>
        </w:rPr>
        <w:t>nieruchomości</w:t>
      </w:r>
      <w:r>
        <w:rPr>
          <w:spacing w:val="-9"/>
          <w:sz w:val="20"/>
        </w:rPr>
        <w:t> </w:t>
      </w:r>
      <w:r>
        <w:rPr>
          <w:sz w:val="20"/>
        </w:rPr>
        <w:t>o</w:t>
      </w:r>
      <w:r>
        <w:rPr>
          <w:spacing w:val="-8"/>
          <w:sz w:val="20"/>
        </w:rPr>
        <w:t> </w:t>
      </w:r>
      <w:r>
        <w:rPr>
          <w:sz w:val="20"/>
        </w:rPr>
        <w:t>charakterze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inwestycyjnym:</w:t>
      </w:r>
    </w:p>
    <w:p>
      <w:pPr>
        <w:pStyle w:val="ListParagraph"/>
        <w:numPr>
          <w:ilvl w:val="2"/>
          <w:numId w:val="1"/>
        </w:numPr>
        <w:tabs>
          <w:tab w:pos="1147" w:val="left" w:leader="none"/>
        </w:tabs>
        <w:spacing w:line="240" w:lineRule="auto" w:before="37" w:after="0"/>
        <w:ind w:left="1147" w:right="0" w:hanging="360"/>
        <w:jc w:val="left"/>
        <w:rPr>
          <w:sz w:val="20"/>
        </w:rPr>
      </w:pPr>
      <w:r>
        <w:rPr>
          <w:spacing w:val="-2"/>
          <w:sz w:val="20"/>
        </w:rPr>
        <w:t>określenie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wartości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nieruchomości</w:t>
      </w:r>
      <w:r>
        <w:rPr>
          <w:spacing w:val="11"/>
          <w:sz w:val="20"/>
        </w:rPr>
        <w:t> </w:t>
      </w:r>
      <w:r>
        <w:rPr>
          <w:spacing w:val="-2"/>
          <w:sz w:val="20"/>
        </w:rPr>
        <w:t>gruntowej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niezabudowanej,</w:t>
      </w:r>
    </w:p>
    <w:p>
      <w:pPr>
        <w:pStyle w:val="ListParagraph"/>
        <w:numPr>
          <w:ilvl w:val="2"/>
          <w:numId w:val="1"/>
        </w:numPr>
        <w:tabs>
          <w:tab w:pos="1147" w:val="left" w:leader="none"/>
        </w:tabs>
        <w:spacing w:line="240" w:lineRule="auto" w:before="37" w:after="0"/>
        <w:ind w:left="1147" w:right="0" w:hanging="360"/>
        <w:jc w:val="left"/>
        <w:rPr>
          <w:sz w:val="20"/>
        </w:rPr>
      </w:pPr>
      <w:r>
        <w:rPr>
          <w:sz w:val="20"/>
        </w:rPr>
        <w:t>określenie</w:t>
      </w:r>
      <w:r>
        <w:rPr>
          <w:spacing w:val="-9"/>
          <w:sz w:val="20"/>
        </w:rPr>
        <w:t> </w:t>
      </w:r>
      <w:r>
        <w:rPr>
          <w:sz w:val="20"/>
        </w:rPr>
        <w:t>aktualnej</w:t>
      </w:r>
      <w:r>
        <w:rPr>
          <w:spacing w:val="-7"/>
          <w:sz w:val="20"/>
        </w:rPr>
        <w:t> </w:t>
      </w:r>
      <w:r>
        <w:rPr>
          <w:sz w:val="20"/>
        </w:rPr>
        <w:t>wartości</w:t>
      </w:r>
      <w:r>
        <w:rPr>
          <w:spacing w:val="-6"/>
          <w:sz w:val="20"/>
        </w:rPr>
        <w:t> </w:t>
      </w:r>
      <w:r>
        <w:rPr>
          <w:sz w:val="20"/>
        </w:rPr>
        <w:t>rynkowej</w:t>
      </w:r>
      <w:r>
        <w:rPr>
          <w:spacing w:val="-7"/>
          <w:sz w:val="20"/>
        </w:rPr>
        <w:t> </w:t>
      </w:r>
      <w:r>
        <w:rPr>
          <w:sz w:val="20"/>
        </w:rPr>
        <w:t>nieruchomości</w:t>
      </w:r>
      <w:r>
        <w:rPr>
          <w:spacing w:val="-8"/>
          <w:sz w:val="20"/>
        </w:rPr>
        <w:t> </w:t>
      </w:r>
      <w:r>
        <w:rPr>
          <w:sz w:val="20"/>
        </w:rPr>
        <w:t>według</w:t>
      </w:r>
      <w:r>
        <w:rPr>
          <w:spacing w:val="-8"/>
          <w:sz w:val="20"/>
        </w:rPr>
        <w:t> </w:t>
      </w:r>
      <w:r>
        <w:rPr>
          <w:sz w:val="20"/>
        </w:rPr>
        <w:t>stanu</w:t>
      </w:r>
      <w:r>
        <w:rPr>
          <w:spacing w:val="-7"/>
          <w:sz w:val="20"/>
        </w:rPr>
        <w:t> </w:t>
      </w:r>
      <w:r>
        <w:rPr>
          <w:sz w:val="20"/>
        </w:rPr>
        <w:t>i</w:t>
      </w:r>
      <w:r>
        <w:rPr>
          <w:spacing w:val="-7"/>
          <w:sz w:val="20"/>
        </w:rPr>
        <w:t> </w:t>
      </w:r>
      <w:r>
        <w:rPr>
          <w:sz w:val="20"/>
        </w:rPr>
        <w:t>cen</w:t>
      </w:r>
      <w:r>
        <w:rPr>
          <w:spacing w:val="-7"/>
          <w:sz w:val="20"/>
        </w:rPr>
        <w:t> </w:t>
      </w:r>
      <w:r>
        <w:rPr>
          <w:sz w:val="20"/>
        </w:rPr>
        <w:t>na</w:t>
      </w:r>
      <w:r>
        <w:rPr>
          <w:spacing w:val="-7"/>
          <w:sz w:val="20"/>
        </w:rPr>
        <w:t> </w:t>
      </w:r>
      <w:r>
        <w:rPr>
          <w:sz w:val="20"/>
        </w:rPr>
        <w:t>dzień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wyceny,</w:t>
      </w:r>
    </w:p>
    <w:p>
      <w:pPr>
        <w:pStyle w:val="ListParagraph"/>
        <w:numPr>
          <w:ilvl w:val="2"/>
          <w:numId w:val="1"/>
        </w:numPr>
        <w:tabs>
          <w:tab w:pos="1000" w:val="left" w:leader="none"/>
          <w:tab w:pos="1003" w:val="left" w:leader="none"/>
        </w:tabs>
        <w:spacing w:line="276" w:lineRule="auto" w:before="36" w:after="0"/>
        <w:ind w:left="1003" w:right="290" w:hanging="217"/>
        <w:jc w:val="left"/>
        <w:rPr>
          <w:sz w:val="20"/>
        </w:rPr>
      </w:pPr>
      <w:r>
        <w:rPr>
          <w:sz w:val="20"/>
        </w:rPr>
        <w:t>określenie wartości rynkowej nieruchomości według stanu techniczno-użytkowego i zagospodarowania po zakończeniu inwestycji, z uwzględnieniem wykończenia nieruchomości i cen na dzień wyceny,</w:t>
      </w:r>
    </w:p>
    <w:p>
      <w:pPr>
        <w:pStyle w:val="ListParagraph"/>
        <w:spacing w:after="0" w:line="276" w:lineRule="auto"/>
        <w:jc w:val="left"/>
        <w:rPr>
          <w:sz w:val="20"/>
        </w:rPr>
        <w:sectPr>
          <w:pgSz w:w="11910" w:h="16840"/>
          <w:pgMar w:header="263" w:footer="560" w:top="860" w:bottom="740" w:left="425" w:right="425"/>
        </w:sectPr>
      </w:pPr>
    </w:p>
    <w:p>
      <w:pPr>
        <w:pStyle w:val="BodyText"/>
        <w:spacing w:before="55"/>
        <w:ind w:left="0" w:firstLine="0"/>
      </w:pPr>
    </w:p>
    <w:p>
      <w:pPr>
        <w:pStyle w:val="ListParagraph"/>
        <w:numPr>
          <w:ilvl w:val="2"/>
          <w:numId w:val="1"/>
        </w:numPr>
        <w:tabs>
          <w:tab w:pos="1146" w:val="left" w:leader="none"/>
        </w:tabs>
        <w:spacing w:line="240" w:lineRule="auto" w:before="1" w:after="0"/>
        <w:ind w:left="1146" w:right="0" w:hanging="359"/>
        <w:jc w:val="both"/>
        <w:rPr>
          <w:sz w:val="20"/>
        </w:rPr>
      </w:pPr>
      <w:r>
        <w:rPr>
          <w:sz w:val="20"/>
        </w:rPr>
        <w:t>określenie</w:t>
      </w:r>
      <w:r>
        <w:rPr>
          <w:spacing w:val="-12"/>
          <w:sz w:val="20"/>
        </w:rPr>
        <w:t> </w:t>
      </w:r>
      <w:r>
        <w:rPr>
          <w:sz w:val="20"/>
        </w:rPr>
        <w:t>stanu</w:t>
      </w:r>
      <w:r>
        <w:rPr>
          <w:spacing w:val="-11"/>
          <w:sz w:val="20"/>
        </w:rPr>
        <w:t> </w:t>
      </w:r>
      <w:r>
        <w:rPr>
          <w:sz w:val="20"/>
        </w:rPr>
        <w:t>zaawansowania</w:t>
      </w:r>
      <w:r>
        <w:rPr>
          <w:spacing w:val="-10"/>
          <w:sz w:val="20"/>
        </w:rPr>
        <w:t> </w:t>
      </w:r>
      <w:r>
        <w:rPr>
          <w:sz w:val="20"/>
        </w:rPr>
        <w:t>realizowanej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inwestycji,</w:t>
      </w:r>
    </w:p>
    <w:p>
      <w:pPr>
        <w:pStyle w:val="ListParagraph"/>
        <w:numPr>
          <w:ilvl w:val="2"/>
          <w:numId w:val="1"/>
        </w:numPr>
        <w:tabs>
          <w:tab w:pos="1001" w:val="left" w:leader="none"/>
          <w:tab w:pos="1003" w:val="left" w:leader="none"/>
        </w:tabs>
        <w:spacing w:line="276" w:lineRule="auto" w:before="36" w:after="0"/>
        <w:ind w:left="1003" w:right="296" w:hanging="217"/>
        <w:jc w:val="both"/>
        <w:rPr>
          <w:sz w:val="20"/>
        </w:rPr>
      </w:pPr>
      <w:r>
        <w:rPr>
          <w:sz w:val="20"/>
        </w:rPr>
        <w:t>określenia kosztów niezbędnych do poniesienia, aby zakończyć proces rozwoju (kalkulacja kosztów powinna być oparta na dokumentacji wykonawczej, technicznej lub przetargowej inwestora – jeśli istnieje, kalkulacja kosztów powinna być adekwatna do realiów rynku lokalnego).</w:t>
      </w:r>
    </w:p>
    <w:p>
      <w:pPr>
        <w:pStyle w:val="Heading1"/>
        <w:numPr>
          <w:ilvl w:val="0"/>
          <w:numId w:val="1"/>
        </w:numPr>
        <w:tabs>
          <w:tab w:pos="578" w:val="left" w:leader="none"/>
        </w:tabs>
        <w:spacing w:line="240" w:lineRule="auto" w:before="241" w:after="0"/>
        <w:ind w:left="578" w:right="0" w:hanging="406"/>
        <w:jc w:val="left"/>
      </w:pPr>
      <w:r>
        <w:rPr>
          <w:spacing w:val="-2"/>
        </w:rPr>
        <w:t>Niezbędne</w:t>
      </w:r>
      <w:r>
        <w:rPr>
          <w:spacing w:val="-4"/>
        </w:rPr>
        <w:t> </w:t>
      </w:r>
      <w:r>
        <w:rPr>
          <w:spacing w:val="-2"/>
        </w:rPr>
        <w:t>załączniki</w:t>
      </w:r>
      <w:r>
        <w:rPr>
          <w:spacing w:val="-3"/>
        </w:rPr>
        <w:t> </w:t>
      </w:r>
      <w:r>
        <w:rPr>
          <w:spacing w:val="-2"/>
        </w:rPr>
        <w:t>do wyceny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40" w:lineRule="auto" w:before="103" w:after="0"/>
        <w:ind w:left="720" w:right="0" w:hanging="358"/>
        <w:jc w:val="both"/>
        <w:rPr>
          <w:sz w:val="20"/>
        </w:rPr>
      </w:pPr>
      <w:r>
        <w:rPr>
          <w:sz w:val="20"/>
        </w:rPr>
        <w:t>dokumentacja</w:t>
      </w:r>
      <w:r>
        <w:rPr>
          <w:spacing w:val="-9"/>
          <w:sz w:val="20"/>
        </w:rPr>
        <w:t> </w:t>
      </w:r>
      <w:r>
        <w:rPr>
          <w:sz w:val="20"/>
        </w:rPr>
        <w:t>fotograficzna</w:t>
      </w:r>
      <w:r>
        <w:rPr>
          <w:spacing w:val="-9"/>
          <w:sz w:val="20"/>
        </w:rPr>
        <w:t> </w:t>
      </w:r>
      <w:r>
        <w:rPr>
          <w:sz w:val="20"/>
        </w:rPr>
        <w:t>nieruchomości</w:t>
      </w:r>
      <w:r>
        <w:rPr>
          <w:spacing w:val="-9"/>
          <w:sz w:val="20"/>
        </w:rPr>
        <w:t> </w:t>
      </w:r>
      <w:r>
        <w:rPr>
          <w:sz w:val="20"/>
        </w:rPr>
        <w:t>(wewnątrz</w:t>
      </w:r>
      <w:r>
        <w:rPr>
          <w:spacing w:val="-9"/>
          <w:sz w:val="20"/>
        </w:rPr>
        <w:t> </w:t>
      </w:r>
      <w:r>
        <w:rPr>
          <w:sz w:val="20"/>
        </w:rPr>
        <w:t>i</w:t>
      </w:r>
      <w:r>
        <w:rPr>
          <w:spacing w:val="-10"/>
          <w:sz w:val="20"/>
        </w:rPr>
        <w:t> </w:t>
      </w:r>
      <w:r>
        <w:rPr>
          <w:sz w:val="20"/>
        </w:rPr>
        <w:t>na</w:t>
      </w:r>
      <w:r>
        <w:rPr>
          <w:spacing w:val="-8"/>
          <w:sz w:val="20"/>
        </w:rPr>
        <w:t> </w:t>
      </w:r>
      <w:r>
        <w:rPr>
          <w:sz w:val="20"/>
        </w:rPr>
        <w:t>zewnątrz)</w:t>
      </w:r>
      <w:r>
        <w:rPr>
          <w:spacing w:val="-9"/>
          <w:sz w:val="20"/>
        </w:rPr>
        <w:t> </w:t>
      </w:r>
      <w:r>
        <w:rPr>
          <w:sz w:val="20"/>
        </w:rPr>
        <w:t>oraz</w:t>
      </w:r>
      <w:r>
        <w:rPr>
          <w:spacing w:val="-9"/>
          <w:sz w:val="20"/>
        </w:rPr>
        <w:t> </w:t>
      </w:r>
      <w:r>
        <w:rPr>
          <w:sz w:val="20"/>
        </w:rPr>
        <w:t>najbliższej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okolicy,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40" w:lineRule="auto" w:before="36" w:after="0"/>
        <w:ind w:left="720" w:right="0" w:hanging="358"/>
        <w:jc w:val="both"/>
        <w:rPr>
          <w:sz w:val="20"/>
        </w:rPr>
      </w:pPr>
      <w:r>
        <w:rPr>
          <w:sz w:val="20"/>
        </w:rPr>
        <w:t>wypis</w:t>
      </w:r>
      <w:r>
        <w:rPr>
          <w:spacing w:val="-9"/>
          <w:sz w:val="20"/>
        </w:rPr>
        <w:t> </w:t>
      </w:r>
      <w:r>
        <w:rPr>
          <w:sz w:val="20"/>
        </w:rPr>
        <w:t>i</w:t>
      </w:r>
      <w:r>
        <w:rPr>
          <w:spacing w:val="-7"/>
          <w:sz w:val="20"/>
        </w:rPr>
        <w:t> </w:t>
      </w:r>
      <w:r>
        <w:rPr>
          <w:sz w:val="20"/>
        </w:rPr>
        <w:t>wyrys</w:t>
      </w:r>
      <w:r>
        <w:rPr>
          <w:spacing w:val="-8"/>
          <w:sz w:val="20"/>
        </w:rPr>
        <w:t> </w:t>
      </w:r>
      <w:r>
        <w:rPr>
          <w:sz w:val="20"/>
        </w:rPr>
        <w:t>z</w:t>
      </w:r>
      <w:r>
        <w:rPr>
          <w:spacing w:val="-7"/>
          <w:sz w:val="20"/>
        </w:rPr>
        <w:t> </w:t>
      </w:r>
      <w:r>
        <w:rPr>
          <w:sz w:val="20"/>
        </w:rPr>
        <w:t>ewidencji</w:t>
      </w:r>
      <w:r>
        <w:rPr>
          <w:spacing w:val="-7"/>
          <w:sz w:val="20"/>
        </w:rPr>
        <w:t> </w:t>
      </w:r>
      <w:r>
        <w:rPr>
          <w:sz w:val="20"/>
        </w:rPr>
        <w:t>gruntów</w:t>
      </w:r>
      <w:r>
        <w:rPr>
          <w:spacing w:val="-8"/>
          <w:sz w:val="20"/>
        </w:rPr>
        <w:t> </w:t>
      </w:r>
      <w:r>
        <w:rPr>
          <w:sz w:val="20"/>
        </w:rPr>
        <w:t>i</w:t>
      </w:r>
      <w:r>
        <w:rPr>
          <w:spacing w:val="-7"/>
          <w:sz w:val="20"/>
        </w:rPr>
        <w:t> </w:t>
      </w:r>
      <w:r>
        <w:rPr>
          <w:sz w:val="20"/>
        </w:rPr>
        <w:t>budynków</w:t>
      </w:r>
      <w:r>
        <w:rPr>
          <w:spacing w:val="-7"/>
          <w:sz w:val="20"/>
        </w:rPr>
        <w:t> </w:t>
      </w:r>
      <w:r>
        <w:rPr>
          <w:sz w:val="20"/>
        </w:rPr>
        <w:t>(z</w:t>
      </w:r>
      <w:r>
        <w:rPr>
          <w:spacing w:val="-7"/>
          <w:sz w:val="20"/>
        </w:rPr>
        <w:t> </w:t>
      </w:r>
      <w:r>
        <w:rPr>
          <w:sz w:val="20"/>
        </w:rPr>
        <w:t>wyłączeniem</w:t>
      </w:r>
      <w:r>
        <w:rPr>
          <w:spacing w:val="-8"/>
          <w:sz w:val="20"/>
        </w:rPr>
        <w:t> </w:t>
      </w:r>
      <w:r>
        <w:rPr>
          <w:sz w:val="20"/>
        </w:rPr>
        <w:t>nieruchomości</w:t>
      </w:r>
      <w:r>
        <w:rPr>
          <w:spacing w:val="-5"/>
          <w:sz w:val="20"/>
        </w:rPr>
        <w:t> </w:t>
      </w:r>
      <w:r>
        <w:rPr>
          <w:sz w:val="20"/>
        </w:rPr>
        <w:t>stanowiących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lokale),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  <w:tab w:pos="722" w:val="left" w:leader="none"/>
        </w:tabs>
        <w:spacing w:line="276" w:lineRule="auto" w:before="37" w:after="0"/>
        <w:ind w:left="722" w:right="295" w:hanging="360"/>
        <w:jc w:val="both"/>
        <w:rPr>
          <w:sz w:val="20"/>
        </w:rPr>
      </w:pPr>
      <w:r>
        <w:rPr>
          <w:sz w:val="20"/>
        </w:rPr>
        <w:t>odpisy/wypisy z ksiąg wieczystych, protokoły z badania ksiąg wieczystych, bądź inne dokumenty stwierdzające prawa do </w:t>
      </w:r>
      <w:r>
        <w:rPr>
          <w:spacing w:val="-2"/>
          <w:sz w:val="20"/>
        </w:rPr>
        <w:t>nieruchomości,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  <w:tab w:pos="722" w:val="left" w:leader="none"/>
        </w:tabs>
        <w:spacing w:line="276" w:lineRule="auto" w:before="0" w:after="0"/>
        <w:ind w:left="722" w:right="289" w:hanging="360"/>
        <w:jc w:val="both"/>
        <w:rPr>
          <w:sz w:val="20"/>
        </w:rPr>
      </w:pPr>
      <w:r>
        <w:rPr>
          <w:sz w:val="20"/>
        </w:rPr>
        <w:t>dokumenty potwierdzające przyjęte parametry techniczne budynku w operacie szacunkowym (m.in. fragmenty dokumentacji architektoniczno-budowlanej/inwentaryzacji zawierające m.in. zestawienie powierzchni budynku, decyzja pozwolenia na użytkowanie/ zgłoszenie zakończenia budowy i przystąpienia do użytkowania z adnotacją iż właściwy organ nie wniósł sprzeciwu i przystąpienia do użytkowania obiektu budowlanego zawierające informacje o parametrach technicznych budynku, (dotyczy tylko nieruchomości gruntowej zabudowanej budynkiem)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40" w:lineRule="auto" w:before="1" w:after="0"/>
        <w:ind w:left="720" w:right="0" w:hanging="358"/>
        <w:jc w:val="both"/>
        <w:rPr>
          <w:sz w:val="20"/>
        </w:rPr>
      </w:pPr>
      <w:r>
        <w:rPr>
          <w:spacing w:val="-2"/>
          <w:sz w:val="20"/>
        </w:rPr>
        <w:t>pozwolenie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na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budowę/rozbudowę/nadbudowę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budynku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(jeśli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dotyczy),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40" w:lineRule="auto" w:before="37" w:after="0"/>
        <w:ind w:left="720" w:right="0" w:hanging="358"/>
        <w:jc w:val="both"/>
        <w:rPr>
          <w:sz w:val="20"/>
        </w:rPr>
      </w:pPr>
      <w:r>
        <w:rPr>
          <w:sz w:val="20"/>
        </w:rPr>
        <w:t>inne</w:t>
      </w:r>
      <w:r>
        <w:rPr>
          <w:spacing w:val="-9"/>
          <w:sz w:val="20"/>
        </w:rPr>
        <w:t> </w:t>
      </w:r>
      <w:r>
        <w:rPr>
          <w:sz w:val="20"/>
        </w:rPr>
        <w:t>dokumenty</w:t>
      </w:r>
      <w:r>
        <w:rPr>
          <w:spacing w:val="-7"/>
          <w:sz w:val="20"/>
        </w:rPr>
        <w:t> </w:t>
      </w:r>
      <w:r>
        <w:rPr>
          <w:sz w:val="20"/>
        </w:rPr>
        <w:t>istotne</w:t>
      </w:r>
      <w:r>
        <w:rPr>
          <w:spacing w:val="-8"/>
          <w:sz w:val="20"/>
        </w:rPr>
        <w:t> </w:t>
      </w:r>
      <w:r>
        <w:rPr>
          <w:sz w:val="20"/>
        </w:rPr>
        <w:t>do</w:t>
      </w:r>
      <w:r>
        <w:rPr>
          <w:spacing w:val="-8"/>
          <w:sz w:val="20"/>
        </w:rPr>
        <w:t> </w:t>
      </w:r>
      <w:r>
        <w:rPr>
          <w:sz w:val="20"/>
        </w:rPr>
        <w:t>sporządzenia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wyceny.</w:t>
      </w:r>
    </w:p>
    <w:p>
      <w:pPr>
        <w:pStyle w:val="BodyText"/>
        <w:spacing w:before="32"/>
        <w:ind w:left="0" w:firstLine="0"/>
      </w:pPr>
    </w:p>
    <w:p>
      <w:pPr>
        <w:pStyle w:val="Heading1"/>
        <w:numPr>
          <w:ilvl w:val="0"/>
          <w:numId w:val="1"/>
        </w:numPr>
        <w:tabs>
          <w:tab w:pos="578" w:val="left" w:leader="none"/>
        </w:tabs>
        <w:spacing w:line="240" w:lineRule="auto" w:before="0" w:after="0"/>
        <w:ind w:left="578" w:right="0" w:hanging="463"/>
        <w:jc w:val="left"/>
      </w:pPr>
      <w:r>
        <w:rPr>
          <w:spacing w:val="-2"/>
        </w:rPr>
        <w:t>Oświadczenie</w:t>
      </w:r>
      <w:r>
        <w:rPr>
          <w:spacing w:val="-6"/>
        </w:rPr>
        <w:t> </w:t>
      </w:r>
      <w:r>
        <w:rPr>
          <w:spacing w:val="-2"/>
        </w:rPr>
        <w:t>rzeczoznawcy</w:t>
      </w:r>
      <w:r>
        <w:rPr>
          <w:spacing w:val="-5"/>
        </w:rPr>
        <w:t> </w:t>
      </w:r>
      <w:r>
        <w:rPr>
          <w:spacing w:val="-2"/>
        </w:rPr>
        <w:t>majątkowego</w:t>
      </w:r>
    </w:p>
    <w:p>
      <w:pPr>
        <w:pStyle w:val="ListParagraph"/>
        <w:numPr>
          <w:ilvl w:val="1"/>
          <w:numId w:val="1"/>
        </w:numPr>
        <w:tabs>
          <w:tab w:pos="717" w:val="left" w:leader="none"/>
          <w:tab w:pos="719" w:val="left" w:leader="none"/>
        </w:tabs>
        <w:spacing w:line="360" w:lineRule="auto" w:before="103" w:after="0"/>
        <w:ind w:left="719" w:right="295" w:hanging="358"/>
        <w:jc w:val="both"/>
        <w:rPr>
          <w:i/>
          <w:sz w:val="20"/>
        </w:rPr>
      </w:pPr>
      <w:r>
        <w:rPr>
          <w:i/>
          <w:sz w:val="20"/>
        </w:rPr>
        <w:t>Oświadczam, że spełniam wymogi niezależnego rzeczoznawcy, posiadam odpowiednie kwalifikacje, umiejętności i doświadczenie konieczne do przeprowadzenia wyceny, jestem osobą niezależną od procesu decyzyjnego w sprawie udzielania kredytu.</w:t>
      </w:r>
    </w:p>
    <w:p>
      <w:pPr>
        <w:pStyle w:val="BodyText"/>
        <w:spacing w:before="1"/>
        <w:ind w:left="722" w:firstLine="0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694055</wp:posOffset>
                </wp:positionH>
                <wp:positionV relativeFrom="paragraph">
                  <wp:posOffset>169435</wp:posOffset>
                </wp:positionV>
                <wp:extent cx="2628900" cy="708025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628900" cy="708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8900" h="708025">
                              <a:moveTo>
                                <a:pt x="0" y="708025"/>
                              </a:moveTo>
                              <a:lnTo>
                                <a:pt x="2628899" y="708025"/>
                              </a:lnTo>
                              <a:lnTo>
                                <a:pt x="2628899" y="0"/>
                              </a:lnTo>
                              <a:lnTo>
                                <a:pt x="0" y="0"/>
                              </a:lnTo>
                              <a:lnTo>
                                <a:pt x="0" y="70802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4.650002pt;margin-top:13.341406pt;width:207.0pt;height:55.75pt;mso-position-horizontal-relative:page;mso-position-vertical-relative:paragraph;z-index:-15728128;mso-wrap-distance-left:0;mso-wrap-distance-right:0" id="docshape3" filled="false" stroked="true" strokeweight=".75pt" strokecolor="#000000">
                <v:stroke dashstyle="solid"/>
                <w10:wrap type="topAndBottom"/>
              </v:rect>
            </w:pict>
          </mc:Fallback>
        </mc:AlternateContent>
      </w:r>
      <w:r>
        <w:rPr/>
        <w:t>Data</w:t>
      </w:r>
      <w:r>
        <w:rPr>
          <w:spacing w:val="-8"/>
        </w:rPr>
        <w:t> </w:t>
      </w:r>
      <w:r>
        <w:rPr/>
        <w:t>,</w:t>
      </w:r>
      <w:r>
        <w:rPr>
          <w:spacing w:val="-6"/>
        </w:rPr>
        <w:t> </w:t>
      </w:r>
      <w:r>
        <w:rPr/>
        <w:t>podpis</w:t>
      </w:r>
      <w:r>
        <w:rPr>
          <w:spacing w:val="-9"/>
        </w:rPr>
        <w:t> </w:t>
      </w:r>
      <w:r>
        <w:rPr/>
        <w:t>rzeczoznawcy</w:t>
      </w:r>
      <w:r>
        <w:rPr>
          <w:spacing w:val="-7"/>
        </w:rPr>
        <w:t> </w:t>
      </w:r>
      <w:r>
        <w:rPr/>
        <w:t>majątkowego,</w:t>
      </w:r>
      <w:r>
        <w:rPr>
          <w:spacing w:val="-7"/>
        </w:rPr>
        <w:t> </w:t>
      </w:r>
      <w:r>
        <w:rPr>
          <w:spacing w:val="-2"/>
        </w:rPr>
        <w:t>pieczęć</w:t>
      </w:r>
    </w:p>
    <w:p>
      <w:pPr>
        <w:pStyle w:val="BodyText"/>
        <w:spacing w:before="52"/>
        <w:ind w:left="0" w:firstLine="0"/>
      </w:pPr>
    </w:p>
    <w:p>
      <w:pPr>
        <w:pStyle w:val="ListParagraph"/>
        <w:numPr>
          <w:ilvl w:val="1"/>
          <w:numId w:val="1"/>
        </w:numPr>
        <w:tabs>
          <w:tab w:pos="717" w:val="left" w:leader="none"/>
          <w:tab w:pos="719" w:val="left" w:leader="none"/>
        </w:tabs>
        <w:spacing w:line="357" w:lineRule="auto" w:before="0" w:after="0"/>
        <w:ind w:left="719" w:right="292" w:hanging="358"/>
        <w:jc w:val="both"/>
        <w:rPr>
          <w:i/>
          <w:sz w:val="20"/>
        </w:rPr>
      </w:pPr>
      <w:r>
        <w:rPr>
          <w:i/>
          <w:sz w:val="20"/>
        </w:rPr>
        <w:t>Oświadczam, że zapoznałem się z powyższymi Wytycznymi Banku przed sporządzeniem operatu szacunkowego i na ich podstawie sporządziłem/-am operat szacunkowy.</w:t>
      </w:r>
    </w:p>
    <w:p>
      <w:pPr>
        <w:pStyle w:val="BodyText"/>
        <w:spacing w:before="5"/>
        <w:ind w:firstLine="0"/>
        <w:jc w:val="both"/>
      </w:pPr>
      <w:r>
        <w:rPr/>
        <w:t>Data</w:t>
      </w:r>
      <w:r>
        <w:rPr>
          <w:spacing w:val="-8"/>
        </w:rPr>
        <w:t> </w:t>
      </w:r>
      <w:r>
        <w:rPr/>
        <w:t>,</w:t>
      </w:r>
      <w:r>
        <w:rPr>
          <w:spacing w:val="-6"/>
        </w:rPr>
        <w:t> </w:t>
      </w:r>
      <w:r>
        <w:rPr/>
        <w:t>podpis</w:t>
      </w:r>
      <w:r>
        <w:rPr>
          <w:spacing w:val="-9"/>
        </w:rPr>
        <w:t> </w:t>
      </w:r>
      <w:r>
        <w:rPr/>
        <w:t>rzeczoznawcy</w:t>
      </w:r>
      <w:r>
        <w:rPr>
          <w:spacing w:val="-7"/>
        </w:rPr>
        <w:t> </w:t>
      </w:r>
      <w:r>
        <w:rPr/>
        <w:t>majątkowego,</w:t>
      </w:r>
      <w:r>
        <w:rPr>
          <w:spacing w:val="-7"/>
        </w:rPr>
        <w:t> </w:t>
      </w:r>
      <w:r>
        <w:rPr>
          <w:spacing w:val="-2"/>
        </w:rPr>
        <w:t>pieczęć</w:t>
      </w:r>
    </w:p>
    <w:p>
      <w:pPr>
        <w:pStyle w:val="BodyText"/>
        <w:spacing w:before="8"/>
        <w:ind w:left="0" w:firstLine="0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694055</wp:posOffset>
                </wp:positionH>
                <wp:positionV relativeFrom="paragraph">
                  <wp:posOffset>44119</wp:posOffset>
                </wp:positionV>
                <wp:extent cx="2628900" cy="696595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628900" cy="696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8900" h="696595">
                              <a:moveTo>
                                <a:pt x="0" y="696595"/>
                              </a:moveTo>
                              <a:lnTo>
                                <a:pt x="2628899" y="696595"/>
                              </a:lnTo>
                              <a:lnTo>
                                <a:pt x="2628899" y="0"/>
                              </a:lnTo>
                              <a:lnTo>
                                <a:pt x="0" y="0"/>
                              </a:lnTo>
                              <a:lnTo>
                                <a:pt x="0" y="69659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4.650002pt;margin-top:3.473984pt;width:207.0pt;height:54.85pt;mso-position-horizontal-relative:page;mso-position-vertical-relative:paragraph;z-index:-15727616;mso-wrap-distance-left:0;mso-wrap-distance-right:0" id="docshape4" filled="false" stroked="true" strokeweight=".75pt" strokecolor="#000000">
                <v:stroke dashstyle="solid"/>
                <w10:wrap type="topAndBottom"/>
              </v:rect>
            </w:pict>
          </mc:Fallback>
        </mc:AlternateContent>
      </w:r>
      <w:r>
        <w:rPr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457200</wp:posOffset>
                </wp:positionH>
                <wp:positionV relativeFrom="paragraph">
                  <wp:posOffset>1055670</wp:posOffset>
                </wp:positionV>
                <wp:extent cx="6064885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064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4885" h="0">
                              <a:moveTo>
                                <a:pt x="0" y="0"/>
                              </a:moveTo>
                              <a:lnTo>
                                <a:pt x="6064665" y="0"/>
                              </a:lnTo>
                            </a:path>
                          </a:pathLst>
                        </a:custGeom>
                        <a:ln w="11510">
                          <a:solidFill>
                            <a:srgbClr val="B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83.123688pt;width:477.55pt;height:.1pt;mso-position-horizontal-relative:page;mso-position-vertical-relative:paragraph;z-index:-15727104;mso-wrap-distance-left:0;mso-wrap-distance-right:0" id="docshape5" coordorigin="720,1662" coordsize="9551,0" path="m720,1662l10271,1662e" filled="false" stroked="true" strokeweight=".90636pt" strokecolor="#bf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20"/>
        <w:ind w:left="0" w:firstLine="0"/>
      </w:pPr>
    </w:p>
    <w:p>
      <w:pPr>
        <w:pStyle w:val="BodyText"/>
        <w:spacing w:before="96"/>
        <w:ind w:left="0" w:firstLine="0"/>
      </w:pPr>
    </w:p>
    <w:p>
      <w:pPr>
        <w:pStyle w:val="ListParagraph"/>
        <w:numPr>
          <w:ilvl w:val="1"/>
          <w:numId w:val="1"/>
        </w:numPr>
        <w:tabs>
          <w:tab w:pos="722" w:val="left" w:leader="none"/>
        </w:tabs>
        <w:spacing w:line="240" w:lineRule="auto" w:before="0" w:after="0"/>
        <w:ind w:left="722" w:right="0" w:hanging="360"/>
        <w:jc w:val="left"/>
        <w:rPr>
          <w:sz w:val="20"/>
        </w:rPr>
      </w:pPr>
      <w:r>
        <w:rPr>
          <w:sz w:val="20"/>
        </w:rPr>
        <w:t>Adnotacje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Banku</w:t>
      </w:r>
    </w:p>
    <w:p>
      <w:pPr>
        <w:pStyle w:val="BodyText"/>
        <w:spacing w:before="1"/>
        <w:ind w:left="722" w:firstLine="0"/>
      </w:pPr>
      <w:r>
        <w:rPr/>
        <w:t>Data</w:t>
      </w:r>
      <w:r>
        <w:rPr>
          <w:spacing w:val="-7"/>
        </w:rPr>
        <w:t> </w:t>
      </w:r>
      <w:r>
        <w:rPr/>
        <w:t>przyjęcia</w:t>
      </w:r>
      <w:r>
        <w:rPr>
          <w:spacing w:val="-6"/>
        </w:rPr>
        <w:t> </w:t>
      </w:r>
      <w:r>
        <w:rPr/>
        <w:t>operatu</w:t>
      </w:r>
      <w:r>
        <w:rPr>
          <w:spacing w:val="-6"/>
        </w:rPr>
        <w:t> </w:t>
      </w:r>
      <w:r>
        <w:rPr>
          <w:spacing w:val="-2"/>
        </w:rPr>
        <w:t>szacunkowego</w:t>
      </w:r>
    </w:p>
    <w:p>
      <w:pPr>
        <w:pStyle w:val="BodyText"/>
        <w:spacing w:before="4"/>
        <w:ind w:left="0" w:firstLine="0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694055</wp:posOffset>
                </wp:positionH>
                <wp:positionV relativeFrom="paragraph">
                  <wp:posOffset>72085</wp:posOffset>
                </wp:positionV>
                <wp:extent cx="2628900" cy="57150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628900" cy="571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8900" h="571500">
                              <a:moveTo>
                                <a:pt x="0" y="571499"/>
                              </a:moveTo>
                              <a:lnTo>
                                <a:pt x="2628899" y="571499"/>
                              </a:lnTo>
                              <a:lnTo>
                                <a:pt x="2628899" y="0"/>
                              </a:lnTo>
                              <a:lnTo>
                                <a:pt x="0" y="0"/>
                              </a:lnTo>
                              <a:lnTo>
                                <a:pt x="0" y="57149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4.650002pt;margin-top:5.676023pt;width:207.0pt;height:45pt;mso-position-horizontal-relative:page;mso-position-vertical-relative:paragraph;z-index:-15726592;mso-wrap-distance-left:0;mso-wrap-distance-right:0" id="docshape6" filled="false" stroked="true" strokeweight=".75pt" strokecolor="#000000">
                <v:stroke dashstyle="solid"/>
                <w10:wrap type="topAndBottom"/>
              </v:rect>
            </w:pict>
          </mc:Fallback>
        </mc:AlternateContent>
      </w:r>
    </w:p>
    <w:p>
      <w:pPr>
        <w:pStyle w:val="BodyText"/>
        <w:spacing w:before="200"/>
        <w:ind w:left="0" w:firstLine="0"/>
      </w:pPr>
    </w:p>
    <w:p>
      <w:pPr>
        <w:pStyle w:val="BodyText"/>
        <w:ind w:left="722" w:firstLine="0"/>
      </w:pPr>
      <w:r>
        <w:rPr/>
        <w:t>Imię</w:t>
      </w:r>
      <w:r>
        <w:rPr>
          <w:spacing w:val="-8"/>
        </w:rPr>
        <w:t> </w:t>
      </w:r>
      <w:r>
        <w:rPr/>
        <w:t>i</w:t>
      </w:r>
      <w:r>
        <w:rPr>
          <w:spacing w:val="-5"/>
        </w:rPr>
        <w:t> </w:t>
      </w:r>
      <w:r>
        <w:rPr/>
        <w:t>nazwisko</w:t>
      </w:r>
      <w:r>
        <w:rPr>
          <w:spacing w:val="-6"/>
        </w:rPr>
        <w:t> </w:t>
      </w:r>
      <w:r>
        <w:rPr/>
        <w:t>pracownika</w:t>
      </w:r>
      <w:r>
        <w:rPr>
          <w:spacing w:val="-5"/>
        </w:rPr>
        <w:t> </w:t>
      </w:r>
      <w:r>
        <w:rPr/>
        <w:t>Banku,</w:t>
      </w:r>
      <w:r>
        <w:rPr>
          <w:spacing w:val="-2"/>
        </w:rPr>
        <w:t> </w:t>
      </w:r>
      <w:r>
        <w:rPr/>
        <w:t>pieczęć</w:t>
      </w:r>
      <w:r>
        <w:rPr>
          <w:spacing w:val="-7"/>
        </w:rPr>
        <w:t> </w:t>
      </w:r>
      <w:r>
        <w:rPr>
          <w:spacing w:val="-2"/>
        </w:rPr>
        <w:t>funkcyjna</w:t>
      </w:r>
    </w:p>
    <w:sectPr>
      <w:pgSz w:w="11910" w:h="16840"/>
      <w:pgMar w:header="263" w:footer="560" w:top="860" w:bottom="74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Calibri Light">
    <w:altName w:val="Calibri Light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13600">
              <wp:simplePos x="0" y="0"/>
              <wp:positionH relativeFrom="page">
                <wp:posOffset>6819645</wp:posOffset>
              </wp:positionH>
              <wp:positionV relativeFrom="page">
                <wp:posOffset>10197246</wp:posOffset>
              </wp:positionV>
              <wp:extent cx="299085" cy="14986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9908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60" w:right="0" w:firstLine="0"/>
                            <w:jc w:val="left"/>
                            <w:rPr>
                              <w:rFonts w:ascii="Verdana"/>
                              <w:sz w:val="16"/>
                            </w:rPr>
                          </w:pPr>
                          <w:r>
                            <w:rPr>
                              <w:rFonts w:ascii="Verdana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Verdana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Verdana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Verdana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Verdana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Verdana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Verdana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spacing w:val="-10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Verdana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Verdana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6.979980pt;margin-top:802.9328pt;width:23.55pt;height:11.8pt;mso-position-horizontal-relative:page;mso-position-vertical-relative:page;z-index:-15802880" type="#_x0000_t202" id="docshape2" filled="false" stroked="false">
              <v:textbox inset="0,0,0,0">
                <w:txbxContent>
                  <w:p>
                    <w:pPr>
                      <w:spacing w:before="21"/>
                      <w:ind w:left="60" w:right="0" w:firstLine="0"/>
                      <w:jc w:val="left"/>
                      <w:rPr>
                        <w:rFonts w:ascii="Verdana"/>
                        <w:sz w:val="16"/>
                      </w:rPr>
                    </w:pPr>
                    <w:r>
                      <w:rPr>
                        <w:rFonts w:ascii="Verdana"/>
                        <w:sz w:val="16"/>
                      </w:rPr>
                      <w:fldChar w:fldCharType="begin"/>
                    </w:r>
                    <w:r>
                      <w:rPr>
                        <w:rFonts w:ascii="Verdana"/>
                        <w:sz w:val="16"/>
                      </w:rPr>
                      <w:instrText> PAGE </w:instrText>
                    </w:r>
                    <w:r>
                      <w:rPr>
                        <w:rFonts w:ascii="Verdana"/>
                        <w:sz w:val="16"/>
                      </w:rPr>
                      <w:fldChar w:fldCharType="separate"/>
                    </w:r>
                    <w:r>
                      <w:rPr>
                        <w:rFonts w:ascii="Verdana"/>
                        <w:sz w:val="16"/>
                      </w:rPr>
                      <w:t>1</w:t>
                    </w:r>
                    <w:r>
                      <w:rPr>
                        <w:rFonts w:ascii="Verdana"/>
                        <w:sz w:val="16"/>
                      </w:rPr>
                      <w:fldChar w:fldCharType="end"/>
                    </w:r>
                    <w:r>
                      <w:rPr>
                        <w:rFonts w:ascii="Verdana"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Verdana"/>
                        <w:sz w:val="16"/>
                      </w:rPr>
                      <w:t>/</w:t>
                    </w:r>
                    <w:r>
                      <w:rPr>
                        <w:rFonts w:ascii="Verdana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Verdana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Verdana"/>
                        <w:spacing w:val="-10"/>
                        <w:sz w:val="16"/>
                      </w:rPr>
                      <w:instrText> NUMPAGES </w:instrText>
                    </w:r>
                    <w:r>
                      <w:rPr>
                        <w:rFonts w:ascii="Verdana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Verdana"/>
                        <w:spacing w:val="-10"/>
                        <w:sz w:val="16"/>
                      </w:rPr>
                      <w:t>3</w:t>
                    </w:r>
                    <w:r>
                      <w:rPr>
                        <w:rFonts w:ascii="Verdana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13088">
              <wp:simplePos x="0" y="0"/>
              <wp:positionH relativeFrom="page">
                <wp:posOffset>4493133</wp:posOffset>
              </wp:positionH>
              <wp:positionV relativeFrom="page">
                <wp:posOffset>154558</wp:posOffset>
              </wp:positionV>
              <wp:extent cx="2626360" cy="27876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62636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0" w:right="18" w:firstLine="0"/>
                            <w:jc w:val="right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Załącznik</w:t>
                          </w:r>
                          <w:r>
                            <w:rPr>
                              <w:i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i/>
                              <w:sz w:val="18"/>
                            </w:rPr>
                            <w:t>nr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i/>
                              <w:spacing w:val="-10"/>
                              <w:sz w:val="18"/>
                            </w:rPr>
                            <w:t>3</w:t>
                          </w:r>
                        </w:p>
                        <w:p>
                          <w:pPr>
                            <w:spacing w:line="219" w:lineRule="exact" w:before="0"/>
                            <w:ind w:left="0" w:right="21" w:firstLine="0"/>
                            <w:jc w:val="right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Zasady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i/>
                              <w:sz w:val="18"/>
                            </w:rPr>
                            <w:t>Oceny</w:t>
                          </w:r>
                          <w:r>
                            <w:rPr>
                              <w:i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i/>
                              <w:sz w:val="18"/>
                            </w:rPr>
                            <w:t>Wartości</w:t>
                          </w:r>
                          <w:r>
                            <w:rPr>
                              <w:i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i/>
                              <w:sz w:val="18"/>
                            </w:rPr>
                            <w:t>Nieruchomości</w:t>
                          </w:r>
                          <w:r>
                            <w:rPr>
                              <w:i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i/>
                              <w:sz w:val="18"/>
                            </w:rPr>
                            <w:t>w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i/>
                              <w:sz w:val="18"/>
                            </w:rPr>
                            <w:t>Alior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i/>
                              <w:sz w:val="18"/>
                            </w:rPr>
                            <w:t>Bank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i/>
                              <w:spacing w:val="-4"/>
                              <w:sz w:val="18"/>
                            </w:rPr>
                            <w:t>S.A.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53.790009pt;margin-top:12.169983pt;width:206.8pt;height:21.95pt;mso-position-horizontal-relative:page;mso-position-vertical-relative:page;z-index:-15803392" type="#_x0000_t202" id="docshape1" filled="false" stroked="false">
              <v:textbox inset="0,0,0,0">
                <w:txbxContent>
                  <w:p>
                    <w:pPr>
                      <w:spacing w:line="203" w:lineRule="exact" w:before="0"/>
                      <w:ind w:left="0" w:right="18" w:firstLine="0"/>
                      <w:jc w:val="righ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Załącznik</w:t>
                    </w:r>
                    <w:r>
                      <w:rPr>
                        <w:i/>
                        <w:spacing w:val="-4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nr</w:t>
                    </w:r>
                    <w:r>
                      <w:rPr>
                        <w:i/>
                        <w:spacing w:val="-1"/>
                        <w:sz w:val="18"/>
                      </w:rPr>
                      <w:t> </w:t>
                    </w:r>
                    <w:r>
                      <w:rPr>
                        <w:i/>
                        <w:spacing w:val="-10"/>
                        <w:sz w:val="18"/>
                      </w:rPr>
                      <w:t>3</w:t>
                    </w:r>
                  </w:p>
                  <w:p>
                    <w:pPr>
                      <w:spacing w:line="219" w:lineRule="exact" w:before="0"/>
                      <w:ind w:left="0" w:right="21" w:firstLine="0"/>
                      <w:jc w:val="righ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Zasady</w:t>
                    </w:r>
                    <w:r>
                      <w:rPr>
                        <w:i/>
                        <w:spacing w:val="-3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Oceny</w:t>
                    </w:r>
                    <w:r>
                      <w:rPr>
                        <w:i/>
                        <w:spacing w:val="-4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Wartości</w:t>
                    </w:r>
                    <w:r>
                      <w:rPr>
                        <w:i/>
                        <w:spacing w:val="-4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Nieruchomości</w:t>
                    </w:r>
                    <w:r>
                      <w:rPr>
                        <w:i/>
                        <w:spacing w:val="-4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w</w:t>
                    </w:r>
                    <w:r>
                      <w:rPr>
                        <w:i/>
                        <w:spacing w:val="-3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Alior</w:t>
                    </w:r>
                    <w:r>
                      <w:rPr>
                        <w:i/>
                        <w:spacing w:val="-3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Bank</w:t>
                    </w:r>
                    <w:r>
                      <w:rPr>
                        <w:i/>
                        <w:spacing w:val="-3"/>
                        <w:sz w:val="18"/>
                      </w:rPr>
                      <w:t> </w:t>
                    </w:r>
                    <w:r>
                      <w:rPr>
                        <w:i/>
                        <w:spacing w:val="-4"/>
                        <w:sz w:val="18"/>
                      </w:rPr>
                      <w:t>S.A.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719" w:hanging="35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753" w:hanging="358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787" w:hanging="358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820" w:hanging="35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854" w:hanging="35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888" w:hanging="35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921" w:hanging="35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955" w:hanging="35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989" w:hanging="358"/>
      </w:pPr>
      <w:rPr>
        <w:rFonts w:hint="default"/>
        <w:lang w:val="pl-PL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719" w:hanging="35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753" w:hanging="358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787" w:hanging="358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820" w:hanging="35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854" w:hanging="35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888" w:hanging="35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921" w:hanging="35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955" w:hanging="35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989" w:hanging="358"/>
      </w:pPr>
      <w:rPr>
        <w:rFonts w:hint="default"/>
        <w:lang w:val="pl-PL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1015" w:hanging="476"/>
        <w:jc w:val="right"/>
      </w:pPr>
      <w:rPr>
        <w:rFonts w:hint="default" w:ascii="Calibri Light" w:hAnsi="Calibri Light" w:eastAsia="Calibri Light" w:cs="Calibri Ligh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719" w:hanging="358"/>
        <w:jc w:val="left"/>
      </w:pPr>
      <w:rPr>
        <w:rFonts w:hint="default"/>
        <w:spacing w:val="-1"/>
        <w:w w:val="99"/>
        <w:lang w:val="pl-PL" w:eastAsia="en-US" w:bidi="ar-SA"/>
      </w:rPr>
    </w:lvl>
    <w:lvl w:ilvl="2">
      <w:start w:val="1"/>
      <w:numFmt w:val="lowerLetter"/>
      <w:lvlText w:val="%3."/>
      <w:lvlJc w:val="left"/>
      <w:pPr>
        <w:ind w:left="1147" w:hanging="35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379" w:hanging="35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619" w:hanging="35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858" w:hanging="35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098" w:hanging="35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337" w:hanging="35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577" w:hanging="358"/>
      </w:pPr>
      <w:rPr>
        <w:rFonts w:hint="default"/>
        <w:lang w:val="pl-PL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l-PL" w:eastAsia="en-US" w:bidi="ar-SA"/>
    </w:rPr>
  </w:style>
  <w:style w:styleId="BodyText" w:type="paragraph">
    <w:name w:val="Body Text"/>
    <w:basedOn w:val="Normal"/>
    <w:uiPriority w:val="1"/>
    <w:qFormat/>
    <w:pPr>
      <w:ind w:left="719" w:hanging="358"/>
    </w:pPr>
    <w:rPr>
      <w:rFonts w:ascii="Calibri" w:hAnsi="Calibri" w:eastAsia="Calibri" w:cs="Calibri"/>
      <w:sz w:val="20"/>
      <w:szCs w:val="20"/>
      <w:lang w:val="pl-PL" w:eastAsia="en-US" w:bidi="ar-SA"/>
    </w:rPr>
  </w:style>
  <w:style w:styleId="Heading1" w:type="paragraph">
    <w:name w:val="Heading 1"/>
    <w:basedOn w:val="Normal"/>
    <w:uiPriority w:val="1"/>
    <w:qFormat/>
    <w:pPr>
      <w:ind w:left="1015" w:hanging="605"/>
      <w:outlineLvl w:val="1"/>
    </w:pPr>
    <w:rPr>
      <w:rFonts w:ascii="Calibri Light" w:hAnsi="Calibri Light" w:eastAsia="Calibri Light" w:cs="Calibri Light"/>
      <w:sz w:val="24"/>
      <w:szCs w:val="24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ind w:left="719" w:hanging="358"/>
    </w:pPr>
    <w:rPr>
      <w:rFonts w:ascii="Calibri" w:hAnsi="Calibri" w:eastAsia="Calibri" w:cs="Calibri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celinka</dc:creator>
  <dcterms:created xsi:type="dcterms:W3CDTF">2026-07-29T19:18:17Z</dcterms:created>
  <dcterms:modified xsi:type="dcterms:W3CDTF">2026-07-29T19:18:17Z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2015-07-16T00:00:00Z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2026-07-29T00:00:00Z</vt:filetime>
  </property>
  <property fmtid="{D5CDD505-2E9C-101B-9397-08002B2CF9AE}" pid="6" name="Producer">
    <vt:lpwstr>Microsoft® Word 2010</vt:lpwstr>
  </property>
</Properties>
</file>