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31" w:after="1"/>
        <w:rPr>
          <w:rFonts w:ascii="Times New Roman"/>
        </w:rPr>
      </w:pPr>
    </w:p>
    <w:p>
      <w:pPr>
        <w:pStyle w:val="BodyText"/>
        <w:spacing w:line="20" w:lineRule="exact"/>
        <w:ind w:left="4204"/>
        <w:rPr>
          <w:rFonts w:ascii="Times New Roman"/>
          <w:sz w:val="2"/>
        </w:rPr>
      </w:pPr>
      <w:bookmarkStart w:name="PN-ISO 9836 " w:id="1"/>
      <w:bookmarkEnd w:id="1"/>
      <w:r>
        <w:rPr/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3900804" cy="12700"/>
                <wp:effectExtent l="9525" t="0" r="4445" b="6350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3900804" cy="12700"/>
                          <a:chExt cx="3900804" cy="1270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6350"/>
                            <a:ext cx="39008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0804" h="0">
                                <a:moveTo>
                                  <a:pt x="0" y="0"/>
                                </a:moveTo>
                                <a:lnTo>
                                  <a:pt x="390041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7.150pt;height:1pt;mso-position-horizontal-relative:char;mso-position-vertical-relative:line" id="docshapegroup3" coordorigin="0,0" coordsize="6143,20">
                <v:line style="position:absolute" from="0,10" to="6142,10" stroked="true" strokeweight="1pt" strokecolor="#231f2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7515" w:val="left" w:leader="none"/>
        </w:tabs>
        <w:spacing w:before="260"/>
        <w:ind w:left="5243" w:right="0" w:firstLine="0"/>
        <w:jc w:val="left"/>
        <w:rPr>
          <w:rFonts w:ascii="Arial"/>
          <w:b/>
          <w:sz w:val="44"/>
        </w:rPr>
      </w:pPr>
      <w:r>
        <w:rPr>
          <w:rFonts w:ascii="Arial"/>
          <w:b/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1080000</wp:posOffset>
                </wp:positionH>
                <wp:positionV relativeFrom="paragraph">
                  <wp:posOffset>-21700</wp:posOffset>
                </wp:positionV>
                <wp:extent cx="1270" cy="918019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270" cy="9180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180195">
                              <a:moveTo>
                                <a:pt x="0" y="0"/>
                              </a:moveTo>
                              <a:lnTo>
                                <a:pt x="0" y="918000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85.039398pt,-1.7087pt" to="85.039398pt,721.1263pt" stroked="true" strokeweight="1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sz w:val="44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1320384</wp:posOffset>
            </wp:positionH>
            <wp:positionV relativeFrom="paragraph">
              <wp:posOffset>-8965</wp:posOffset>
            </wp:positionV>
            <wp:extent cx="1633731" cy="104851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731" cy="104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pacing w:val="19"/>
          <w:sz w:val="44"/>
        </w:rPr>
        <w:t>POLSKA</w:t>
      </w:r>
      <w:r>
        <w:rPr>
          <w:rFonts w:ascii="Arial"/>
          <w:b/>
          <w:color w:val="231F20"/>
          <w:sz w:val="44"/>
        </w:rPr>
        <w:tab/>
      </w:r>
      <w:r>
        <w:rPr>
          <w:rFonts w:ascii="Arial"/>
          <w:b/>
          <w:color w:val="231F20"/>
          <w:spacing w:val="24"/>
          <w:sz w:val="44"/>
        </w:rPr>
        <w:t>NORMA</w:t>
      </w:r>
    </w:p>
    <w:p>
      <w:pPr>
        <w:pStyle w:val="BodyText"/>
        <w:spacing w:before="8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3136525</wp:posOffset>
                </wp:positionH>
                <wp:positionV relativeFrom="paragraph">
                  <wp:posOffset>166917</wp:posOffset>
                </wp:positionV>
                <wp:extent cx="3883660" cy="1270"/>
                <wp:effectExtent l="0" t="0" r="0" b="0"/>
                <wp:wrapTopAndBottom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3883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3660" h="0">
                              <a:moveTo>
                                <a:pt x="0" y="0"/>
                              </a:moveTo>
                              <a:lnTo>
                                <a:pt x="388346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70505pt;margin-top:13.143148pt;width:305.8pt;height:.1pt;mso-position-horizontal-relative:page;mso-position-vertical-relative:paragraph;z-index:-15728128;mso-wrap-distance-left:0;mso-wrap-distance-right:0" id="docshape4" coordorigin="4939,263" coordsize="6116,0" path="m4939,263l11055,263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3"/>
        <w:ind w:right="138"/>
        <w:jc w:val="right"/>
      </w:pPr>
      <w:r>
        <w:rPr>
          <w:color w:val="231F20"/>
        </w:rPr>
        <w:t>ICS </w:t>
      </w:r>
      <w:r>
        <w:rPr>
          <w:color w:val="231F20"/>
          <w:spacing w:val="-2"/>
        </w:rPr>
        <w:t>91.040.00</w:t>
      </w:r>
    </w:p>
    <w:p>
      <w:pPr>
        <w:pStyle w:val="BodyText"/>
        <w:spacing w:before="64"/>
      </w:pPr>
    </w:p>
    <w:p>
      <w:pPr>
        <w:pStyle w:val="Title"/>
      </w:pPr>
      <w:r>
        <w:rPr>
          <w:color w:val="231F20"/>
        </w:rPr>
        <w:t>PN-ISO </w:t>
      </w:r>
      <w:r>
        <w:rPr>
          <w:color w:val="231F20"/>
          <w:spacing w:val="-4"/>
        </w:rPr>
        <w:t>9836</w:t>
      </w:r>
    </w:p>
    <w:p>
      <w:pPr>
        <w:pStyle w:val="BodyText"/>
        <w:spacing w:before="36"/>
        <w:rPr>
          <w:rFonts w:ascii="Arial"/>
          <w:b/>
          <w:sz w:val="48"/>
        </w:rPr>
      </w:pPr>
    </w:p>
    <w:p>
      <w:pPr>
        <w:pStyle w:val="Heading4"/>
        <w:ind w:left="0" w:right="138"/>
        <w:jc w:val="right"/>
      </w:pPr>
      <w:r>
        <w:rPr>
          <w:color w:val="231F20"/>
          <w:spacing w:val="-2"/>
        </w:rPr>
        <w:t>Wprowadza</w:t>
      </w:r>
    </w:p>
    <w:p>
      <w:pPr>
        <w:pStyle w:val="BodyText"/>
        <w:spacing w:before="10"/>
        <w:ind w:right="133"/>
        <w:jc w:val="right"/>
      </w:pPr>
      <w:r>
        <w:rPr>
          <w:color w:val="231F20"/>
        </w:rPr>
        <w:t>ISO 9836:2017, </w:t>
      </w:r>
      <w:r>
        <w:rPr>
          <w:color w:val="231F20"/>
          <w:spacing w:val="-5"/>
        </w:rPr>
        <w:t>IDT</w:t>
      </w:r>
    </w:p>
    <w:p>
      <w:pPr>
        <w:pStyle w:val="BodyText"/>
        <w:spacing w:before="35"/>
      </w:pPr>
    </w:p>
    <w:p>
      <w:pPr>
        <w:pStyle w:val="Heading4"/>
        <w:ind w:left="0" w:right="138"/>
        <w:jc w:val="right"/>
      </w:pPr>
      <w:r>
        <w:rPr>
          <w:color w:val="231F20"/>
          <w:spacing w:val="-2"/>
        </w:rPr>
        <w:t>Zastępuje</w:t>
      </w:r>
    </w:p>
    <w:p>
      <w:pPr>
        <w:pStyle w:val="BodyText"/>
        <w:spacing w:before="10"/>
        <w:ind w:right="138"/>
        <w:jc w:val="right"/>
      </w:pPr>
      <w:r>
        <w:rPr>
          <w:color w:val="231F20"/>
        </w:rPr>
        <w:t>PN-ISO</w:t>
      </w:r>
      <w:r>
        <w:rPr>
          <w:color w:val="231F20"/>
          <w:spacing w:val="-10"/>
        </w:rPr>
        <w:t> </w:t>
      </w:r>
      <w:r>
        <w:rPr>
          <w:color w:val="231F20"/>
        </w:rPr>
        <w:t>9836:2015-</w:t>
      </w:r>
      <w:r>
        <w:rPr>
          <w:color w:val="231F20"/>
          <w:spacing w:val="-5"/>
        </w:rPr>
        <w:t>12</w:t>
      </w:r>
    </w:p>
    <w:p>
      <w:pPr>
        <w:pStyle w:val="BodyText"/>
        <w:spacing w:before="417"/>
        <w:rPr>
          <w:sz w:val="40"/>
        </w:rPr>
      </w:pPr>
    </w:p>
    <w:p>
      <w:pPr>
        <w:spacing w:before="0"/>
        <w:ind w:left="1332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231F20"/>
          <w:sz w:val="40"/>
        </w:rPr>
        <w:t>Właściwości</w:t>
      </w:r>
      <w:r>
        <w:rPr>
          <w:rFonts w:ascii="Arial" w:hAnsi="Arial"/>
          <w:b/>
          <w:color w:val="231F20"/>
          <w:spacing w:val="-3"/>
          <w:sz w:val="40"/>
        </w:rPr>
        <w:t> </w:t>
      </w:r>
      <w:r>
        <w:rPr>
          <w:rFonts w:ascii="Arial" w:hAnsi="Arial"/>
          <w:b/>
          <w:color w:val="231F20"/>
          <w:sz w:val="40"/>
        </w:rPr>
        <w:t>użytkowe</w:t>
      </w:r>
      <w:r>
        <w:rPr>
          <w:rFonts w:ascii="Arial" w:hAnsi="Arial"/>
          <w:b/>
          <w:color w:val="231F20"/>
          <w:spacing w:val="-2"/>
          <w:sz w:val="40"/>
        </w:rPr>
        <w:t> </w:t>
      </w:r>
      <w:r>
        <w:rPr>
          <w:rFonts w:ascii="Arial" w:hAnsi="Arial"/>
          <w:b/>
          <w:color w:val="231F20"/>
          <w:sz w:val="40"/>
        </w:rPr>
        <w:t>w</w:t>
      </w:r>
      <w:r>
        <w:rPr>
          <w:rFonts w:ascii="Arial" w:hAnsi="Arial"/>
          <w:b/>
          <w:color w:val="231F20"/>
          <w:spacing w:val="-2"/>
          <w:sz w:val="40"/>
        </w:rPr>
        <w:t> budownictwie</w:t>
      </w:r>
    </w:p>
    <w:p>
      <w:pPr>
        <w:spacing w:line="249" w:lineRule="auto" w:before="275"/>
        <w:ind w:left="1332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231F20"/>
          <w:sz w:val="40"/>
        </w:rPr>
        <w:t>Określanie</w:t>
      </w:r>
      <w:r>
        <w:rPr>
          <w:rFonts w:ascii="Arial" w:hAnsi="Arial"/>
          <w:b/>
          <w:color w:val="231F20"/>
          <w:spacing w:val="-11"/>
          <w:sz w:val="40"/>
        </w:rPr>
        <w:t> </w:t>
      </w:r>
      <w:r>
        <w:rPr>
          <w:rFonts w:ascii="Arial" w:hAnsi="Arial"/>
          <w:b/>
          <w:color w:val="231F20"/>
          <w:sz w:val="40"/>
        </w:rPr>
        <w:t>i</w:t>
      </w:r>
      <w:r>
        <w:rPr>
          <w:rFonts w:ascii="Arial" w:hAnsi="Arial"/>
          <w:b/>
          <w:color w:val="231F20"/>
          <w:spacing w:val="-11"/>
          <w:sz w:val="40"/>
        </w:rPr>
        <w:t> </w:t>
      </w:r>
      <w:r>
        <w:rPr>
          <w:rFonts w:ascii="Arial" w:hAnsi="Arial"/>
          <w:b/>
          <w:color w:val="231F20"/>
          <w:sz w:val="40"/>
        </w:rPr>
        <w:t>obliczanie</w:t>
      </w:r>
      <w:r>
        <w:rPr>
          <w:rFonts w:ascii="Arial" w:hAnsi="Arial"/>
          <w:b/>
          <w:color w:val="231F20"/>
          <w:spacing w:val="-11"/>
          <w:sz w:val="40"/>
        </w:rPr>
        <w:t> </w:t>
      </w:r>
      <w:r>
        <w:rPr>
          <w:rFonts w:ascii="Arial" w:hAnsi="Arial"/>
          <w:b/>
          <w:color w:val="231F20"/>
          <w:sz w:val="40"/>
        </w:rPr>
        <w:t>wskaźników powierzchniowych i kubaturowych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41"/>
        <w:rPr>
          <w:rFonts w:ascii="Arial"/>
          <w:b/>
          <w:sz w:val="24"/>
        </w:rPr>
      </w:pPr>
    </w:p>
    <w:p>
      <w:pPr>
        <w:spacing w:line="242" w:lineRule="auto" w:before="0"/>
        <w:ind w:left="133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Norma Międzynarodowa ISO 9836:2017 </w:t>
      </w:r>
      <w:r>
        <w:rPr>
          <w:rFonts w:ascii="Arial" w:hAnsi="Arial"/>
          <w:b/>
          <w:i/>
          <w:color w:val="231F20"/>
          <w:sz w:val="24"/>
        </w:rPr>
        <w:t>Performance standards in building – </w:t>
      </w:r>
      <w:r>
        <w:rPr>
          <w:rFonts w:ascii="Arial" w:hAnsi="Arial"/>
          <w:b/>
          <w:i/>
          <w:color w:val="231F20"/>
          <w:spacing w:val="-2"/>
          <w:sz w:val="24"/>
        </w:rPr>
        <w:t>Definition</w:t>
      </w:r>
      <w:r>
        <w:rPr>
          <w:rFonts w:ascii="Arial" w:hAnsi="Arial"/>
          <w:b/>
          <w:i/>
          <w:color w:val="231F20"/>
          <w:spacing w:val="-14"/>
          <w:sz w:val="24"/>
        </w:rPr>
        <w:t> </w:t>
      </w:r>
      <w:r>
        <w:rPr>
          <w:rFonts w:ascii="Arial" w:hAnsi="Arial"/>
          <w:b/>
          <w:i/>
          <w:color w:val="231F20"/>
          <w:spacing w:val="-2"/>
          <w:sz w:val="24"/>
        </w:rPr>
        <w:t>and</w:t>
      </w:r>
      <w:r>
        <w:rPr>
          <w:rFonts w:ascii="Arial" w:hAnsi="Arial"/>
          <w:b/>
          <w:i/>
          <w:color w:val="231F20"/>
          <w:spacing w:val="-14"/>
          <w:sz w:val="24"/>
        </w:rPr>
        <w:t> </w:t>
      </w:r>
      <w:r>
        <w:rPr>
          <w:rFonts w:ascii="Arial" w:hAnsi="Arial"/>
          <w:b/>
          <w:i/>
          <w:color w:val="231F20"/>
          <w:spacing w:val="-2"/>
          <w:sz w:val="24"/>
        </w:rPr>
        <w:t>calculation</w:t>
      </w:r>
      <w:r>
        <w:rPr>
          <w:rFonts w:ascii="Arial" w:hAnsi="Arial"/>
          <w:b/>
          <w:i/>
          <w:color w:val="231F20"/>
          <w:spacing w:val="-14"/>
          <w:sz w:val="24"/>
        </w:rPr>
        <w:t> </w:t>
      </w:r>
      <w:r>
        <w:rPr>
          <w:rFonts w:ascii="Arial" w:hAnsi="Arial"/>
          <w:b/>
          <w:i/>
          <w:color w:val="231F20"/>
          <w:spacing w:val="-2"/>
          <w:sz w:val="24"/>
        </w:rPr>
        <w:t>of</w:t>
      </w:r>
      <w:r>
        <w:rPr>
          <w:rFonts w:ascii="Arial" w:hAnsi="Arial"/>
          <w:b/>
          <w:i/>
          <w:color w:val="231F20"/>
          <w:spacing w:val="-14"/>
          <w:sz w:val="24"/>
        </w:rPr>
        <w:t> </w:t>
      </w:r>
      <w:r>
        <w:rPr>
          <w:rFonts w:ascii="Arial" w:hAnsi="Arial"/>
          <w:b/>
          <w:i/>
          <w:color w:val="231F20"/>
          <w:spacing w:val="-2"/>
          <w:sz w:val="24"/>
        </w:rPr>
        <w:t>area</w:t>
      </w:r>
      <w:r>
        <w:rPr>
          <w:rFonts w:ascii="Arial" w:hAnsi="Arial"/>
          <w:b/>
          <w:i/>
          <w:color w:val="231F20"/>
          <w:spacing w:val="-14"/>
          <w:sz w:val="24"/>
        </w:rPr>
        <w:t> </w:t>
      </w:r>
      <w:r>
        <w:rPr>
          <w:rFonts w:ascii="Arial" w:hAnsi="Arial"/>
          <w:b/>
          <w:i/>
          <w:color w:val="231F20"/>
          <w:spacing w:val="-2"/>
          <w:sz w:val="24"/>
        </w:rPr>
        <w:t>and</w:t>
      </w:r>
      <w:r>
        <w:rPr>
          <w:rFonts w:ascii="Arial" w:hAnsi="Arial"/>
          <w:b/>
          <w:i/>
          <w:color w:val="231F20"/>
          <w:spacing w:val="-14"/>
          <w:sz w:val="24"/>
        </w:rPr>
        <w:t> </w:t>
      </w:r>
      <w:r>
        <w:rPr>
          <w:rFonts w:ascii="Arial" w:hAnsi="Arial"/>
          <w:b/>
          <w:i/>
          <w:color w:val="231F20"/>
          <w:spacing w:val="-2"/>
          <w:sz w:val="24"/>
        </w:rPr>
        <w:t>space</w:t>
      </w:r>
      <w:r>
        <w:rPr>
          <w:rFonts w:ascii="Arial" w:hAnsi="Arial"/>
          <w:b/>
          <w:i/>
          <w:color w:val="231F20"/>
          <w:spacing w:val="-14"/>
          <w:sz w:val="24"/>
        </w:rPr>
        <w:t> </w:t>
      </w:r>
      <w:r>
        <w:rPr>
          <w:rFonts w:ascii="Arial" w:hAnsi="Arial"/>
          <w:b/>
          <w:i/>
          <w:color w:val="231F20"/>
          <w:spacing w:val="-2"/>
          <w:sz w:val="24"/>
        </w:rPr>
        <w:t>indicators</w:t>
      </w:r>
      <w:r>
        <w:rPr>
          <w:rFonts w:ascii="Arial" w:hAnsi="Arial"/>
          <w:b/>
          <w:i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ma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status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Polskiej</w:t>
      </w:r>
      <w:r>
        <w:rPr>
          <w:rFonts w:ascii="Arial" w:hAnsi="Arial"/>
          <w:b/>
          <w:color w:val="231F20"/>
          <w:spacing w:val="-14"/>
          <w:sz w:val="24"/>
        </w:rPr>
        <w:t> </w:t>
      </w:r>
      <w:r>
        <w:rPr>
          <w:rFonts w:ascii="Arial" w:hAnsi="Arial"/>
          <w:b/>
          <w:color w:val="231F20"/>
          <w:spacing w:val="-2"/>
          <w:sz w:val="24"/>
        </w:rPr>
        <w:t>Normy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7"/>
        <w:rPr>
          <w:rFonts w:ascii="Arial"/>
          <w:b/>
        </w:rPr>
      </w:pPr>
    </w:p>
    <w:p>
      <w:pPr>
        <w:pStyle w:val="Heading4"/>
        <w:tabs>
          <w:tab w:pos="7734" w:val="left" w:leader="none"/>
        </w:tabs>
        <w:spacing w:before="1"/>
        <w:ind w:left="1332"/>
      </w:pPr>
      <w:r>
        <w:rPr>
          <w:color w:val="231F20"/>
          <w:position w:val="1"/>
        </w:rPr>
        <w:t>©</w:t>
      </w:r>
      <w:r>
        <w:rPr>
          <w:color w:val="231F20"/>
          <w:spacing w:val="-3"/>
          <w:position w:val="1"/>
        </w:rPr>
        <w:t> </w:t>
      </w:r>
      <w:r>
        <w:rPr>
          <w:color w:val="231F20"/>
          <w:position w:val="1"/>
        </w:rPr>
        <w:t>Copyright</w:t>
      </w:r>
      <w:r>
        <w:rPr>
          <w:color w:val="231F20"/>
          <w:spacing w:val="-3"/>
          <w:position w:val="1"/>
        </w:rPr>
        <w:t> </w:t>
      </w:r>
      <w:r>
        <w:rPr>
          <w:color w:val="231F20"/>
          <w:position w:val="1"/>
        </w:rPr>
        <w:t>by</w:t>
      </w:r>
      <w:r>
        <w:rPr>
          <w:color w:val="231F20"/>
          <w:spacing w:val="-3"/>
          <w:position w:val="1"/>
        </w:rPr>
        <w:t> </w:t>
      </w:r>
      <w:r>
        <w:rPr>
          <w:color w:val="231F20"/>
          <w:position w:val="1"/>
        </w:rPr>
        <w:t>PKN,</w:t>
      </w:r>
      <w:r>
        <w:rPr>
          <w:color w:val="231F20"/>
          <w:spacing w:val="-3"/>
          <w:position w:val="1"/>
        </w:rPr>
        <w:t> </w:t>
      </w:r>
      <w:r>
        <w:rPr>
          <w:color w:val="231F20"/>
          <w:position w:val="1"/>
        </w:rPr>
        <w:t>Warszawa</w:t>
      </w:r>
      <w:r>
        <w:rPr>
          <w:color w:val="231F20"/>
          <w:spacing w:val="-3"/>
          <w:position w:val="1"/>
        </w:rPr>
        <w:t> </w:t>
      </w:r>
      <w:r>
        <w:rPr>
          <w:color w:val="231F20"/>
          <w:spacing w:val="-4"/>
          <w:position w:val="1"/>
        </w:rPr>
        <w:t>2022</w:t>
      </w:r>
      <w:r>
        <w:rPr>
          <w:color w:val="231F20"/>
          <w:position w:val="1"/>
        </w:rPr>
        <w:tab/>
      </w:r>
      <w:r>
        <w:rPr>
          <w:color w:val="231F20"/>
        </w:rPr>
        <w:t>nr</w:t>
      </w:r>
      <w:r>
        <w:rPr>
          <w:color w:val="231F20"/>
          <w:spacing w:val="-4"/>
        </w:rPr>
        <w:t> </w:t>
      </w:r>
      <w:r>
        <w:rPr>
          <w:color w:val="231F20"/>
        </w:rPr>
        <w:t>ref.</w:t>
      </w:r>
      <w:r>
        <w:rPr>
          <w:color w:val="231F20"/>
          <w:spacing w:val="-4"/>
        </w:rPr>
        <w:t> </w:t>
      </w:r>
      <w:r>
        <w:rPr>
          <w:color w:val="231F20"/>
        </w:rPr>
        <w:t>PN-ISO</w:t>
      </w:r>
      <w:r>
        <w:rPr>
          <w:color w:val="231F20"/>
          <w:spacing w:val="-3"/>
        </w:rPr>
        <w:t> </w:t>
      </w:r>
      <w:r>
        <w:rPr>
          <w:color w:val="231F20"/>
        </w:rPr>
        <w:t>9836:2022-</w:t>
      </w:r>
      <w:r>
        <w:rPr>
          <w:color w:val="231F20"/>
          <w:spacing w:val="-5"/>
        </w:rPr>
        <w:t>07</w:t>
      </w:r>
    </w:p>
    <w:p>
      <w:pPr>
        <w:pStyle w:val="BodyText"/>
        <w:spacing w:before="8"/>
        <w:rPr>
          <w:rFonts w:ascii="Arial"/>
          <w:b/>
          <w:sz w:val="8"/>
        </w:rPr>
      </w:pPr>
      <w:r>
        <w:rPr>
          <w:rFonts w:ascii="Arial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1295999</wp:posOffset>
                </wp:positionH>
                <wp:positionV relativeFrom="paragraph">
                  <wp:posOffset>78831</wp:posOffset>
                </wp:positionV>
                <wp:extent cx="5724525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0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047203pt;margin-top:6.207169pt;width:450.75pt;height:.1pt;mso-position-horizontal-relative:page;mso-position-vertical-relative:paragraph;z-index:-15727616;mso-wrap-distance-left:0;mso-wrap-distance-right:0" id="docshape5" coordorigin="2041,124" coordsize="9015,0" path="m2041,124l11055,12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9" w:lineRule="auto" w:before="150"/>
        <w:ind w:left="1733" w:right="54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Wszelkie prawa autorskie zastrzeżone. Żadna część niniejszej publikacji nie może być zwielokrotniana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jakąkolwiek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techniką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bez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pisemnej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zgody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Prezesa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Polskiego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Komitetu </w:t>
      </w:r>
      <w:r>
        <w:rPr>
          <w:rFonts w:ascii="Arial" w:hAnsi="Arial"/>
          <w:b/>
          <w:color w:val="231F20"/>
          <w:spacing w:val="-2"/>
          <w:sz w:val="20"/>
        </w:rPr>
        <w:t>Normalizacyjnego</w:t>
      </w:r>
    </w:p>
    <w:p>
      <w:pPr>
        <w:pStyle w:val="BodyText"/>
        <w:spacing w:before="3"/>
        <w:rPr>
          <w:rFonts w:ascii="Arial"/>
          <w:b/>
          <w:sz w:val="15"/>
        </w:rPr>
      </w:pP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1295999</wp:posOffset>
                </wp:positionH>
                <wp:positionV relativeFrom="paragraph">
                  <wp:posOffset>126763</wp:posOffset>
                </wp:positionV>
                <wp:extent cx="5724525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572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0">
                              <a:moveTo>
                                <a:pt x="0" y="0"/>
                              </a:moveTo>
                              <a:lnTo>
                                <a:pt x="5724004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047203pt;margin-top:9.981347pt;width:450.75pt;height:.1pt;mso-position-horizontal-relative:page;mso-position-vertical-relative:paragraph;z-index:-15727104;mso-wrap-distance-left:0;mso-wrap-distance-right:0" id="docshape6" coordorigin="2041,200" coordsize="9015,0" path="m2041,200l11055,20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15"/>
        </w:rPr>
        <w:sectPr>
          <w:headerReference w:type="default" r:id="rId5"/>
          <w:headerReference w:type="even" r:id="rId6"/>
          <w:type w:val="continuous"/>
          <w:pgSz w:w="11910" w:h="16840"/>
          <w:pgMar w:header="10" w:footer="0" w:top="200" w:bottom="280" w:left="708" w:right="708"/>
          <w:pgNumType w:start="1"/>
        </w:sect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5"/>
        <w:rPr>
          <w:rFonts w:ascii="Arial"/>
          <w:b/>
          <w:sz w:val="18"/>
        </w:rPr>
      </w:pPr>
    </w:p>
    <w:p>
      <w:pPr>
        <w:spacing w:before="0"/>
        <w:ind w:left="14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PN-ISO</w:t>
      </w:r>
      <w:r>
        <w:rPr>
          <w:rFonts w:ascii="Arial"/>
          <w:b/>
          <w:color w:val="231F20"/>
          <w:spacing w:val="-11"/>
          <w:sz w:val="18"/>
        </w:rPr>
        <w:t> </w:t>
      </w:r>
      <w:r>
        <w:rPr>
          <w:rFonts w:ascii="Arial"/>
          <w:b/>
          <w:color w:val="231F20"/>
          <w:sz w:val="18"/>
        </w:rPr>
        <w:t>9836:2022-</w:t>
      </w:r>
      <w:r>
        <w:rPr>
          <w:rFonts w:ascii="Arial"/>
          <w:b/>
          <w:color w:val="231F20"/>
          <w:spacing w:val="-5"/>
          <w:sz w:val="18"/>
        </w:rPr>
        <w:t>07</w:t>
      </w:r>
    </w:p>
    <w:p>
      <w:pPr>
        <w:pStyle w:val="BodyText"/>
        <w:spacing w:before="13"/>
        <w:rPr>
          <w:rFonts w:ascii="Arial"/>
          <w:b/>
          <w:sz w:val="18"/>
        </w:rPr>
      </w:pPr>
    </w:p>
    <w:p>
      <w:pPr>
        <w:pStyle w:val="Heading2"/>
      </w:pPr>
      <w:bookmarkStart w:name="Przedmowa krajowa " w:id="2"/>
      <w:bookmarkEnd w:id="2"/>
      <w:r>
        <w:rPr>
          <w:b w:val="0"/>
        </w:rPr>
      </w:r>
      <w:r>
        <w:rPr>
          <w:color w:val="231F20"/>
        </w:rPr>
        <w:t>Przedmowa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krajowa</w:t>
      </w:r>
    </w:p>
    <w:p>
      <w:pPr>
        <w:pStyle w:val="BodyText"/>
        <w:spacing w:line="516" w:lineRule="auto" w:before="257"/>
        <w:ind w:left="142" w:right="702"/>
      </w:pPr>
      <w:r>
        <w:rPr>
          <w:color w:val="231F20"/>
        </w:rPr>
        <w:t>Niniejsza</w:t>
      </w:r>
      <w:r>
        <w:rPr>
          <w:color w:val="231F20"/>
          <w:spacing w:val="-13"/>
        </w:rPr>
        <w:t> </w:t>
      </w:r>
      <w:r>
        <w:rPr>
          <w:color w:val="231F20"/>
        </w:rPr>
        <w:t>norma</w:t>
      </w:r>
      <w:r>
        <w:rPr>
          <w:color w:val="231F20"/>
          <w:spacing w:val="-13"/>
        </w:rPr>
        <w:t> </w:t>
      </w:r>
      <w:r>
        <w:rPr>
          <w:color w:val="231F20"/>
        </w:rPr>
        <w:t>jest</w:t>
      </w:r>
      <w:r>
        <w:rPr>
          <w:color w:val="231F20"/>
          <w:spacing w:val="-13"/>
        </w:rPr>
        <w:t> </w:t>
      </w:r>
      <w:r>
        <w:rPr>
          <w:color w:val="231F20"/>
        </w:rPr>
        <w:t>identycznym</w:t>
      </w:r>
      <w:r>
        <w:rPr>
          <w:color w:val="231F20"/>
          <w:spacing w:val="-13"/>
        </w:rPr>
        <w:t> </w:t>
      </w:r>
      <w:r>
        <w:rPr>
          <w:color w:val="231F20"/>
        </w:rPr>
        <w:t>tłumaczeniem</w:t>
      </w:r>
      <w:r>
        <w:rPr>
          <w:color w:val="231F20"/>
          <w:spacing w:val="-13"/>
        </w:rPr>
        <w:t> </w:t>
      </w:r>
      <w:r>
        <w:rPr>
          <w:color w:val="231F20"/>
        </w:rPr>
        <w:t>angielskiej</w:t>
      </w:r>
      <w:r>
        <w:rPr>
          <w:color w:val="231F20"/>
          <w:spacing w:val="-13"/>
        </w:rPr>
        <w:t> </w:t>
      </w:r>
      <w:r>
        <w:rPr>
          <w:color w:val="231F20"/>
        </w:rPr>
        <w:t>wersji</w:t>
      </w:r>
      <w:r>
        <w:rPr>
          <w:color w:val="231F20"/>
          <w:spacing w:val="-13"/>
        </w:rPr>
        <w:t> </w:t>
      </w:r>
      <w:r>
        <w:rPr>
          <w:color w:val="231F20"/>
        </w:rPr>
        <w:t>Normy</w:t>
      </w:r>
      <w:r>
        <w:rPr>
          <w:color w:val="231F20"/>
          <w:spacing w:val="-13"/>
        </w:rPr>
        <w:t> </w:t>
      </w:r>
      <w:r>
        <w:rPr>
          <w:color w:val="231F20"/>
        </w:rPr>
        <w:t>Międzynarodowej</w:t>
      </w:r>
      <w:r>
        <w:rPr>
          <w:color w:val="231F20"/>
          <w:spacing w:val="-13"/>
        </w:rPr>
        <w:t> </w:t>
      </w:r>
      <w:r>
        <w:rPr>
          <w:color w:val="231F20"/>
        </w:rPr>
        <w:t>ISO</w:t>
      </w:r>
      <w:r>
        <w:rPr>
          <w:color w:val="231F20"/>
          <w:spacing w:val="-13"/>
        </w:rPr>
        <w:t> </w:t>
      </w:r>
      <w:r>
        <w:rPr>
          <w:color w:val="231F20"/>
        </w:rPr>
        <w:t>9836:2017. Została zatwierdzona przez Prezesa PKN dnia 24 maja 2022 r.</w:t>
      </w:r>
    </w:p>
    <w:p>
      <w:pPr>
        <w:pStyle w:val="BodyText"/>
        <w:spacing w:line="249" w:lineRule="auto" w:before="1"/>
        <w:ind w:left="142"/>
      </w:pPr>
      <w:r>
        <w:rPr>
          <w:color w:val="231F20"/>
        </w:rPr>
        <w:t>Komitetem</w:t>
      </w:r>
      <w:r>
        <w:rPr>
          <w:color w:val="231F20"/>
          <w:spacing w:val="-10"/>
        </w:rPr>
        <w:t> </w:t>
      </w:r>
      <w:r>
        <w:rPr>
          <w:color w:val="231F20"/>
        </w:rPr>
        <w:t>krajowym</w:t>
      </w:r>
      <w:r>
        <w:rPr>
          <w:color w:val="231F20"/>
          <w:spacing w:val="-10"/>
        </w:rPr>
        <w:t> </w:t>
      </w:r>
      <w:r>
        <w:rPr>
          <w:color w:val="231F20"/>
        </w:rPr>
        <w:t>odpowiedzialnym</w:t>
      </w:r>
      <w:r>
        <w:rPr>
          <w:color w:val="231F20"/>
          <w:spacing w:val="-10"/>
        </w:rPr>
        <w:t> </w:t>
      </w:r>
      <w:r>
        <w:rPr>
          <w:color w:val="231F20"/>
        </w:rPr>
        <w:t>za</w:t>
      </w:r>
      <w:r>
        <w:rPr>
          <w:color w:val="231F20"/>
          <w:spacing w:val="-10"/>
        </w:rPr>
        <w:t> </w:t>
      </w:r>
      <w:r>
        <w:rPr>
          <w:color w:val="231F20"/>
        </w:rPr>
        <w:t>normę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jej</w:t>
      </w:r>
      <w:r>
        <w:rPr>
          <w:color w:val="231F20"/>
          <w:spacing w:val="-10"/>
        </w:rPr>
        <w:t> </w:t>
      </w:r>
      <w:r>
        <w:rPr>
          <w:color w:val="231F20"/>
        </w:rPr>
        <w:t>tłumaczenie</w:t>
      </w:r>
      <w:r>
        <w:rPr>
          <w:color w:val="231F20"/>
          <w:spacing w:val="-10"/>
        </w:rPr>
        <w:t> </w:t>
      </w:r>
      <w:r>
        <w:rPr>
          <w:color w:val="231F20"/>
        </w:rPr>
        <w:t>jest</w:t>
      </w:r>
      <w:r>
        <w:rPr>
          <w:color w:val="231F20"/>
          <w:spacing w:val="-10"/>
        </w:rPr>
        <w:t> </w:t>
      </w:r>
      <w:r>
        <w:rPr>
          <w:color w:val="231F20"/>
        </w:rPr>
        <w:t>PKN/KT</w:t>
      </w:r>
      <w:r>
        <w:rPr>
          <w:color w:val="231F20"/>
          <w:spacing w:val="-13"/>
        </w:rPr>
        <w:t> </w:t>
      </w:r>
      <w:r>
        <w:rPr>
          <w:color w:val="231F20"/>
        </w:rPr>
        <w:t>232</w:t>
      </w:r>
      <w:r>
        <w:rPr>
          <w:color w:val="231F20"/>
          <w:spacing w:val="-10"/>
        </w:rPr>
        <w:t> </w:t>
      </w:r>
      <w:r>
        <w:rPr>
          <w:color w:val="231F20"/>
        </w:rPr>
        <w:t>ds.</w:t>
      </w:r>
      <w:r>
        <w:rPr>
          <w:color w:val="231F20"/>
          <w:spacing w:val="-10"/>
        </w:rPr>
        <w:t> </w:t>
      </w:r>
      <w:r>
        <w:rPr>
          <w:color w:val="231F20"/>
        </w:rPr>
        <w:t>Zasad</w:t>
      </w:r>
      <w:r>
        <w:rPr>
          <w:color w:val="231F20"/>
          <w:spacing w:val="-10"/>
        </w:rPr>
        <w:t> </w:t>
      </w:r>
      <w:r>
        <w:rPr>
          <w:color w:val="231F20"/>
        </w:rPr>
        <w:t>Sporządzania Dokumentacji Projektowej w Budownictwie.</w:t>
      </w:r>
    </w:p>
    <w:p>
      <w:pPr>
        <w:pStyle w:val="BodyText"/>
        <w:spacing w:before="27"/>
      </w:pPr>
    </w:p>
    <w:p>
      <w:pPr>
        <w:pStyle w:val="BodyText"/>
        <w:ind w:left="142"/>
      </w:pPr>
      <w:r>
        <w:rPr>
          <w:color w:val="231F20"/>
          <w:spacing w:val="-2"/>
        </w:rPr>
        <w:t>Niniejsza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norma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zastępuje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PN-ISO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9836:2015-</w:t>
      </w:r>
      <w:r>
        <w:rPr>
          <w:color w:val="231F20"/>
          <w:spacing w:val="-5"/>
        </w:rPr>
        <w:t>12.</w:t>
      </w:r>
    </w:p>
    <w:p>
      <w:pPr>
        <w:pStyle w:val="BodyText"/>
        <w:spacing w:before="35"/>
      </w:pPr>
    </w:p>
    <w:p>
      <w:pPr>
        <w:pStyle w:val="BodyText"/>
        <w:ind w:left="142"/>
      </w:pPr>
      <w:r>
        <w:rPr>
          <w:color w:val="231F20"/>
        </w:rPr>
        <w:t>W</w:t>
      </w:r>
      <w:r>
        <w:rPr>
          <w:color w:val="231F20"/>
          <w:spacing w:val="-13"/>
        </w:rPr>
        <w:t> </w:t>
      </w:r>
      <w:r>
        <w:rPr>
          <w:color w:val="231F20"/>
        </w:rPr>
        <w:t>zakresie</w:t>
      </w:r>
      <w:r>
        <w:rPr>
          <w:color w:val="231F20"/>
          <w:spacing w:val="-13"/>
        </w:rPr>
        <w:t> </w:t>
      </w:r>
      <w:r>
        <w:rPr>
          <w:color w:val="231F20"/>
        </w:rPr>
        <w:t>tekstu</w:t>
      </w:r>
      <w:r>
        <w:rPr>
          <w:color w:val="231F20"/>
          <w:spacing w:val="-13"/>
        </w:rPr>
        <w:t> </w:t>
      </w:r>
      <w:r>
        <w:rPr>
          <w:color w:val="231F20"/>
        </w:rPr>
        <w:t>Normy</w:t>
      </w:r>
      <w:r>
        <w:rPr>
          <w:color w:val="231F20"/>
          <w:spacing w:val="-12"/>
        </w:rPr>
        <w:t> </w:t>
      </w:r>
      <w:r>
        <w:rPr>
          <w:color w:val="231F20"/>
        </w:rPr>
        <w:t>Międzynarodowej</w:t>
      </w:r>
      <w:r>
        <w:rPr>
          <w:color w:val="231F20"/>
          <w:spacing w:val="-13"/>
        </w:rPr>
        <w:t> </w:t>
      </w:r>
      <w:r>
        <w:rPr>
          <w:color w:val="231F20"/>
        </w:rPr>
        <w:t>wprowadzono</w:t>
      </w:r>
      <w:r>
        <w:rPr>
          <w:color w:val="231F20"/>
          <w:spacing w:val="-13"/>
        </w:rPr>
        <w:t> </w:t>
      </w:r>
      <w:r>
        <w:rPr>
          <w:color w:val="231F20"/>
        </w:rPr>
        <w:t>odsyłacze</w:t>
      </w:r>
      <w:r>
        <w:rPr>
          <w:color w:val="231F20"/>
          <w:spacing w:val="-12"/>
        </w:rPr>
        <w:t> </w:t>
      </w:r>
      <w:r>
        <w:rPr>
          <w:color w:val="231F20"/>
        </w:rPr>
        <w:t>krajowe</w:t>
      </w:r>
      <w:r>
        <w:rPr>
          <w:color w:val="231F20"/>
          <w:spacing w:val="-13"/>
        </w:rPr>
        <w:t> </w:t>
      </w:r>
      <w:r>
        <w:rPr>
          <w:color w:val="231F20"/>
        </w:rPr>
        <w:t>oznaczone</w:t>
      </w:r>
      <w:r>
        <w:rPr>
          <w:color w:val="231F20"/>
          <w:spacing w:val="-13"/>
        </w:rPr>
        <w:t> </w:t>
      </w:r>
      <w:r>
        <w:rPr>
          <w:color w:val="231F20"/>
        </w:rPr>
        <w:t>od</w:t>
      </w:r>
      <w:r>
        <w:rPr>
          <w:color w:val="231F20"/>
          <w:spacing w:val="-12"/>
        </w:rPr>
        <w:t> </w:t>
      </w:r>
      <w:r>
        <w:rPr>
          <w:color w:val="231F20"/>
          <w:vertAlign w:val="superscript"/>
        </w:rPr>
        <w:t>N1)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do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spacing w:val="-4"/>
          <w:vertAlign w:val="superscript"/>
        </w:rPr>
        <w:t>N6)</w:t>
      </w:r>
      <w:r>
        <w:rPr>
          <w:color w:val="231F20"/>
          <w:spacing w:val="-4"/>
          <w:vertAlign w:val="baseline"/>
        </w:rPr>
        <w:t>.</w:t>
      </w:r>
    </w:p>
    <w:p>
      <w:pPr>
        <w:pStyle w:val="BodyText"/>
        <w:spacing w:before="35"/>
      </w:pPr>
    </w:p>
    <w:p>
      <w:pPr>
        <w:pStyle w:val="BodyText"/>
        <w:spacing w:line="249" w:lineRule="auto" w:before="1"/>
        <w:ind w:left="142" w:right="702"/>
      </w:pPr>
      <w:r>
        <w:rPr>
          <w:color w:val="231F20"/>
          <w:spacing w:val="-2"/>
        </w:rPr>
        <w:t>Odpowiedniki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krajowe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norm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innych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dokumentów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powołanych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niniejszej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normie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można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znaleźć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katalogu </w:t>
      </w:r>
      <w:r>
        <w:rPr>
          <w:color w:val="231F20"/>
        </w:rPr>
        <w:t>Polskich</w:t>
      </w:r>
      <w:r>
        <w:rPr>
          <w:color w:val="231F20"/>
          <w:spacing w:val="-6"/>
        </w:rPr>
        <w:t> </w:t>
      </w:r>
      <w:r>
        <w:rPr>
          <w:color w:val="231F20"/>
        </w:rPr>
        <w:t>Norm.</w:t>
      </w:r>
      <w:r>
        <w:rPr>
          <w:color w:val="231F20"/>
          <w:spacing w:val="-6"/>
        </w:rPr>
        <w:t> </w:t>
      </w:r>
      <w:r>
        <w:rPr>
          <w:color w:val="231F20"/>
        </w:rPr>
        <w:t>Oryginały</w:t>
      </w:r>
      <w:r>
        <w:rPr>
          <w:color w:val="231F20"/>
          <w:spacing w:val="-6"/>
        </w:rPr>
        <w:t> </w:t>
      </w:r>
      <w:r>
        <w:rPr>
          <w:color w:val="231F20"/>
        </w:rPr>
        <w:t>norm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innych</w:t>
      </w:r>
      <w:r>
        <w:rPr>
          <w:color w:val="231F20"/>
          <w:spacing w:val="-6"/>
        </w:rPr>
        <w:t> </w:t>
      </w:r>
      <w:r>
        <w:rPr>
          <w:color w:val="231F20"/>
        </w:rPr>
        <w:t>dokumentów</w:t>
      </w:r>
      <w:r>
        <w:rPr>
          <w:color w:val="231F20"/>
          <w:spacing w:val="-6"/>
        </w:rPr>
        <w:t> </w:t>
      </w:r>
      <w:r>
        <w:rPr>
          <w:color w:val="231F20"/>
        </w:rPr>
        <w:t>powołanych</w:t>
      </w:r>
      <w:r>
        <w:rPr>
          <w:color w:val="231F20"/>
          <w:spacing w:val="-6"/>
        </w:rPr>
        <w:t> </w:t>
      </w:r>
      <w:r>
        <w:rPr>
          <w:color w:val="231F20"/>
        </w:rPr>
        <w:t>są</w:t>
      </w:r>
      <w:r>
        <w:rPr>
          <w:color w:val="231F20"/>
          <w:spacing w:val="-6"/>
        </w:rPr>
        <w:t> </w:t>
      </w:r>
      <w:r>
        <w:rPr>
          <w:color w:val="231F20"/>
        </w:rPr>
        <w:t>dostępne</w:t>
      </w:r>
      <w:r>
        <w:rPr>
          <w:color w:val="231F20"/>
          <w:spacing w:val="-6"/>
        </w:rPr>
        <w:t> </w:t>
      </w:r>
      <w:r>
        <w:rPr>
          <w:color w:val="231F20"/>
        </w:rPr>
        <w:t>w</w:t>
      </w:r>
      <w:r>
        <w:rPr>
          <w:color w:val="231F20"/>
          <w:spacing w:val="-6"/>
        </w:rPr>
        <w:t> </w:t>
      </w:r>
      <w:r>
        <w:rPr>
          <w:color w:val="231F20"/>
        </w:rPr>
        <w:t>PKN.</w:t>
      </w:r>
    </w:p>
    <w:p>
      <w:pPr>
        <w:pStyle w:val="BodyText"/>
        <w:spacing w:before="26"/>
      </w:pPr>
    </w:p>
    <w:p>
      <w:pPr>
        <w:pStyle w:val="BodyText"/>
        <w:spacing w:line="249" w:lineRule="auto"/>
        <w:ind w:left="142" w:right="702"/>
      </w:pPr>
      <w:r>
        <w:rPr>
          <w:color w:val="231F20"/>
          <w:spacing w:val="-8"/>
        </w:rPr>
        <w:t>W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sprawach</w:t>
      </w:r>
      <w:r>
        <w:rPr>
          <w:color w:val="231F20"/>
        </w:rPr>
        <w:t> </w:t>
      </w:r>
      <w:r>
        <w:rPr>
          <w:color w:val="231F20"/>
          <w:spacing w:val="-8"/>
        </w:rPr>
        <w:t>merytorycznych</w:t>
      </w:r>
      <w:r>
        <w:rPr>
          <w:color w:val="231F20"/>
        </w:rPr>
        <w:t> </w:t>
      </w:r>
      <w:r>
        <w:rPr>
          <w:color w:val="231F20"/>
          <w:spacing w:val="-8"/>
        </w:rPr>
        <w:t>dotyczących</w:t>
      </w:r>
      <w:r>
        <w:rPr>
          <w:color w:val="231F20"/>
        </w:rPr>
        <w:t> </w:t>
      </w:r>
      <w:r>
        <w:rPr>
          <w:color w:val="231F20"/>
          <w:spacing w:val="-8"/>
        </w:rPr>
        <w:t>treści</w:t>
      </w:r>
      <w:r>
        <w:rPr>
          <w:color w:val="231F20"/>
        </w:rPr>
        <w:t> </w:t>
      </w:r>
      <w:r>
        <w:rPr>
          <w:color w:val="231F20"/>
          <w:spacing w:val="-8"/>
        </w:rPr>
        <w:t>normy</w:t>
      </w:r>
      <w:r>
        <w:rPr>
          <w:color w:val="231F20"/>
        </w:rPr>
        <w:t> </w:t>
      </w:r>
      <w:r>
        <w:rPr>
          <w:color w:val="231F20"/>
          <w:spacing w:val="-8"/>
        </w:rPr>
        <w:t>można</w:t>
      </w:r>
      <w:r>
        <w:rPr>
          <w:color w:val="231F20"/>
        </w:rPr>
        <w:t> </w:t>
      </w:r>
      <w:r>
        <w:rPr>
          <w:color w:val="231F20"/>
          <w:spacing w:val="-8"/>
        </w:rPr>
        <w:t>zwracać</w:t>
      </w:r>
      <w:r>
        <w:rPr>
          <w:color w:val="231F20"/>
        </w:rPr>
        <w:t> </w:t>
      </w:r>
      <w:r>
        <w:rPr>
          <w:color w:val="231F20"/>
          <w:spacing w:val="-8"/>
        </w:rPr>
        <w:t>się</w:t>
      </w:r>
      <w:r>
        <w:rPr>
          <w:color w:val="231F20"/>
        </w:rPr>
        <w:t> </w:t>
      </w:r>
      <w:r>
        <w:rPr>
          <w:color w:val="231F20"/>
          <w:spacing w:val="-8"/>
        </w:rPr>
        <w:t>do</w:t>
      </w:r>
      <w:r>
        <w:rPr>
          <w:color w:val="231F20"/>
        </w:rPr>
        <w:t> </w:t>
      </w:r>
      <w:r>
        <w:rPr>
          <w:color w:val="231F20"/>
          <w:spacing w:val="-8"/>
        </w:rPr>
        <w:t>właściwego</w:t>
      </w:r>
      <w:r>
        <w:rPr>
          <w:color w:val="231F20"/>
        </w:rPr>
        <w:t> </w:t>
      </w:r>
      <w:r>
        <w:rPr>
          <w:color w:val="231F20"/>
          <w:spacing w:val="-8"/>
        </w:rPr>
        <w:t>Komitetu Technicz- </w:t>
      </w:r>
      <w:r>
        <w:rPr>
          <w:color w:val="231F20"/>
        </w:rPr>
        <w:t>nego lub właściwej Rady Sektorowej</w:t>
      </w:r>
      <w:r>
        <w:rPr>
          <w:color w:val="231F20"/>
          <w:spacing w:val="40"/>
        </w:rPr>
        <w:t> </w:t>
      </w:r>
      <w:r>
        <w:rPr>
          <w:color w:val="231F20"/>
        </w:rPr>
        <w:t>PKN, kontakt: </w:t>
      </w:r>
      <w:hyperlink r:id="rId10">
        <w:r>
          <w:rPr>
            <w:color w:val="0000FF"/>
            <w:u w:val="single" w:color="0000FF"/>
          </w:rPr>
          <w:t>www.pkn.pl</w:t>
        </w:r>
      </w:hyperlink>
      <w:r>
        <w:rPr>
          <w:color w:val="231F20"/>
        </w:rPr>
        <w:t>.</w:t>
      </w:r>
    </w:p>
    <w:p>
      <w:pPr>
        <w:pStyle w:val="BodyText"/>
        <w:spacing w:after="0" w:line="249" w:lineRule="auto"/>
        <w:sectPr>
          <w:footerReference w:type="even" r:id="rId8"/>
          <w:footerReference w:type="default" r:id="rId9"/>
          <w:pgSz w:w="11910" w:h="16840"/>
          <w:pgMar w:header="0" w:footer="512" w:top="200" w:bottom="700" w:left="708" w:right="708"/>
          <w:pgNumType w:start="2"/>
        </w:sectPr>
      </w:pPr>
    </w:p>
    <w:p>
      <w:pPr>
        <w:pStyle w:val="BodyText"/>
        <w:spacing w:before="48"/>
      </w:pPr>
    </w:p>
    <w:p>
      <w:pPr>
        <w:pStyle w:val="BodyText"/>
        <w:spacing w:line="20" w:lineRule="exact"/>
        <w:ind w:left="70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120130" cy="12700"/>
                <wp:effectExtent l="9525" t="0" r="4445" b="6350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6120130" cy="12700"/>
                          <a:chExt cx="6120130" cy="127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6350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0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1.9pt;height:1pt;mso-position-horizontal-relative:char;mso-position-vertical-relative:line" id="docshapegroup13" coordorigin="0,0" coordsize="9638,20">
                <v:line style="position:absolute" from="0,10" to="9638,10" stroked="true" strokeweight="1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</w:pPr>
      <w:bookmarkStart w:name="ISO 9836:2017(E)" w:id="3"/>
      <w:bookmarkEnd w:id="3"/>
      <w:r>
        <w:rPr>
          <w:b w:val="0"/>
        </w:rPr>
      </w:r>
      <w:r>
        <w:rPr>
          <w:color w:val="231F20"/>
        </w:rPr>
        <w:t>NORMA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MIĘDZYNARODOWA</w:t>
      </w:r>
    </w:p>
    <w:p>
      <w:pPr>
        <w:tabs>
          <w:tab w:pos="8056" w:val="left" w:leader="none"/>
        </w:tabs>
        <w:spacing w:before="38"/>
        <w:ind w:left="709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899999</wp:posOffset>
                </wp:positionH>
                <wp:positionV relativeFrom="paragraph">
                  <wp:posOffset>266889</wp:posOffset>
                </wp:positionV>
                <wp:extent cx="6120130" cy="127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866096pt;margin-top:21.014917pt;width:481.9pt;height:.1pt;mso-position-horizontal-relative:page;mso-position-vertical-relative:paragraph;z-index:-15725056;mso-wrap-distance-left:0;mso-wrap-distance-right:0" id="docshape14" coordorigin="1417,420" coordsize="9638,0" path="m1417,420l11055,420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b/>
          <w:color w:val="231F20"/>
          <w:sz w:val="28"/>
        </w:rPr>
        <w:t>INTERNATIONAL </w:t>
      </w:r>
      <w:r>
        <w:rPr>
          <w:rFonts w:ascii="Arial"/>
          <w:b/>
          <w:color w:val="231F20"/>
          <w:spacing w:val="-2"/>
          <w:sz w:val="28"/>
        </w:rPr>
        <w:t>STANDARD</w:t>
      </w:r>
      <w:r>
        <w:rPr>
          <w:rFonts w:ascii="Arial"/>
          <w:b/>
          <w:color w:val="231F20"/>
          <w:sz w:val="28"/>
        </w:rPr>
        <w:tab/>
        <w:t>ISO </w:t>
      </w:r>
      <w:r>
        <w:rPr>
          <w:rFonts w:ascii="Arial"/>
          <w:b/>
          <w:color w:val="231F20"/>
          <w:spacing w:val="-2"/>
          <w:sz w:val="28"/>
        </w:rPr>
        <w:t>9836:2017(E)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18"/>
        <w:rPr>
          <w:rFonts w:ascii="Arial"/>
          <w:b/>
        </w:rPr>
      </w:pPr>
    </w:p>
    <w:p>
      <w:pPr>
        <w:pStyle w:val="BodyText"/>
        <w:ind w:left="569"/>
        <w:jc w:val="center"/>
      </w:pPr>
      <w:r>
        <w:rPr>
          <w:color w:val="231F20"/>
        </w:rPr>
        <w:t>Wersja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polska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Heading2"/>
        <w:spacing w:line="242" w:lineRule="auto"/>
        <w:ind w:left="710"/>
      </w:pPr>
      <w:r>
        <w:rPr>
          <w:color w:val="231F20"/>
        </w:rPr>
        <w:t>Właściwości</w:t>
      </w:r>
      <w:r>
        <w:rPr>
          <w:color w:val="231F20"/>
          <w:spacing w:val="-5"/>
        </w:rPr>
        <w:t> </w:t>
      </w:r>
      <w:r>
        <w:rPr>
          <w:color w:val="231F20"/>
        </w:rPr>
        <w:t>użytkowe</w:t>
      </w:r>
      <w:r>
        <w:rPr>
          <w:color w:val="231F20"/>
          <w:spacing w:val="-5"/>
        </w:rPr>
        <w:t> </w:t>
      </w:r>
      <w:r>
        <w:rPr>
          <w:color w:val="231F20"/>
        </w:rPr>
        <w:t>w</w:t>
      </w:r>
      <w:r>
        <w:rPr>
          <w:color w:val="231F20"/>
          <w:spacing w:val="-5"/>
        </w:rPr>
        <w:t> </w:t>
      </w:r>
      <w:r>
        <w:rPr>
          <w:color w:val="231F20"/>
        </w:rPr>
        <w:t>budownictwie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Określanie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obliczanie</w:t>
      </w:r>
      <w:r>
        <w:rPr>
          <w:color w:val="231F20"/>
          <w:spacing w:val="-5"/>
        </w:rPr>
        <w:t> </w:t>
      </w:r>
      <w:r>
        <w:rPr>
          <w:color w:val="231F20"/>
        </w:rPr>
        <w:t>wskaźników powierzchniowych i kubaturowych</w:t>
      </w:r>
    </w:p>
    <w:p>
      <w:pPr>
        <w:pStyle w:val="BodyText"/>
        <w:spacing w:before="237"/>
        <w:rPr>
          <w:rFonts w:ascii="Arial"/>
          <w:b/>
          <w:sz w:val="24"/>
        </w:rPr>
      </w:pPr>
    </w:p>
    <w:p>
      <w:pPr>
        <w:spacing w:before="0"/>
        <w:ind w:left="710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Performance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standards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in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building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–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Definition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and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calculation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z w:val="24"/>
        </w:rPr>
        <w:t>of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area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and</w:t>
      </w:r>
      <w:r>
        <w:rPr>
          <w:rFonts w:ascii="Arial" w:hAnsi="Arial"/>
          <w:i/>
          <w:color w:val="231F20"/>
          <w:spacing w:val="-7"/>
          <w:sz w:val="24"/>
        </w:rPr>
        <w:t> </w:t>
      </w:r>
      <w:r>
        <w:rPr>
          <w:rFonts w:ascii="Arial" w:hAnsi="Arial"/>
          <w:i/>
          <w:color w:val="231F20"/>
          <w:sz w:val="24"/>
        </w:rPr>
        <w:t>space</w:t>
      </w:r>
      <w:r>
        <w:rPr>
          <w:rFonts w:ascii="Arial" w:hAnsi="Arial"/>
          <w:i/>
          <w:color w:val="231F20"/>
          <w:spacing w:val="-6"/>
          <w:sz w:val="24"/>
        </w:rPr>
        <w:t> </w:t>
      </w:r>
      <w:r>
        <w:rPr>
          <w:rFonts w:ascii="Arial" w:hAnsi="Arial"/>
          <w:i/>
          <w:color w:val="231F20"/>
          <w:spacing w:val="-2"/>
          <w:sz w:val="24"/>
        </w:rPr>
        <w:t>indicators</w:t>
      </w:r>
    </w:p>
    <w:p>
      <w:pPr>
        <w:pStyle w:val="BodyText"/>
        <w:spacing w:before="238"/>
        <w:rPr>
          <w:rFonts w:ascii="Arial"/>
          <w:i/>
          <w:sz w:val="24"/>
        </w:rPr>
      </w:pPr>
    </w:p>
    <w:p>
      <w:pPr>
        <w:spacing w:line="242" w:lineRule="auto" w:before="0"/>
        <w:ind w:left="710" w:right="14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31F20"/>
          <w:sz w:val="24"/>
        </w:rPr>
        <w:t>Normes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performance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dans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le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bâtiment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–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Définition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et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calcul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des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indicateurs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de</w:t>
      </w:r>
      <w:r>
        <w:rPr>
          <w:rFonts w:ascii="Arial" w:hAnsi="Arial"/>
          <w:i/>
          <w:color w:val="231F20"/>
          <w:spacing w:val="-3"/>
          <w:sz w:val="24"/>
        </w:rPr>
        <w:t> </w:t>
      </w:r>
      <w:r>
        <w:rPr>
          <w:rFonts w:ascii="Arial" w:hAnsi="Arial"/>
          <w:i/>
          <w:color w:val="231F20"/>
          <w:sz w:val="24"/>
        </w:rPr>
        <w:t>surface et de volume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71"/>
        <w:rPr>
          <w:rFonts w:ascii="Arial"/>
          <w:i/>
          <w:sz w:val="24"/>
        </w:rPr>
      </w:pPr>
    </w:p>
    <w:p>
      <w:pPr>
        <w:spacing w:line="278" w:lineRule="auto" w:before="0"/>
        <w:ind w:left="710" w:right="0" w:firstLine="0"/>
        <w:jc w:val="left"/>
        <w:rPr>
          <w:sz w:val="18"/>
        </w:rPr>
      </w:pPr>
      <w:r>
        <w:rPr>
          <w:color w:val="231F20"/>
          <w:sz w:val="18"/>
        </w:rPr>
        <w:t>Niniejsza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norma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jest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polską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wersją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Normy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Międzynarodowej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9836:2017.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Została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przetłumaczona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przez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Polski Komitet Normalizacyjny i ma ten sam status co wersje oficjalne.</w:t>
      </w:r>
    </w:p>
    <w:p>
      <w:pPr>
        <w:spacing w:after="0" w:line="278" w:lineRule="auto"/>
        <w:jc w:val="left"/>
        <w:rPr>
          <w:sz w:val="18"/>
        </w:rPr>
        <w:sectPr>
          <w:headerReference w:type="default" r:id="rId11"/>
          <w:headerReference w:type="even" r:id="rId12"/>
          <w:pgSz w:w="11910" w:h="16840"/>
          <w:pgMar w:header="53" w:footer="0" w:top="1240" w:bottom="700" w:left="708" w:right="708"/>
        </w:sectPr>
      </w:pPr>
    </w:p>
    <w:p>
      <w:pPr>
        <w:pStyle w:val="Heading2"/>
        <w:spacing w:before="220"/>
      </w:pPr>
      <w:bookmarkStart w:name="Spis treści  " w:id="4"/>
      <w:bookmarkEnd w:id="4"/>
      <w:r>
        <w:rPr>
          <w:b w:val="0"/>
        </w:rPr>
      </w:r>
      <w:r>
        <w:rPr>
          <w:color w:val="231F20"/>
        </w:rPr>
        <w:t>Spis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treści</w:t>
      </w:r>
    </w:p>
    <w:p>
      <w:pPr>
        <w:pStyle w:val="BodyText"/>
        <w:spacing w:before="228"/>
        <w:ind w:right="707"/>
        <w:jc w:val="right"/>
      </w:pPr>
      <w:r>
        <w:rPr>
          <w:color w:val="231F20"/>
          <w:spacing w:val="-2"/>
        </w:rPr>
        <w:t>Stronica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68" w:val="left" w:leader="dot"/>
            </w:tabs>
            <w:ind w:left="142" w:firstLine="0"/>
          </w:pPr>
          <w:hyperlink w:history="true" w:anchor="_bookmark0">
            <w:r>
              <w:rPr>
                <w:color w:val="231F20"/>
                <w:spacing w:val="-2"/>
              </w:rPr>
              <w:t>Przedmowa</w:t>
            </w:r>
            <w:r>
              <w:rPr>
                <w:rFonts w:ascii="Times New Roman"/>
                <w:b w:val="0"/>
                <w:color w:val="231F20"/>
              </w:rPr>
              <w:tab/>
            </w:r>
            <w:r>
              <w:rPr>
                <w:color w:val="231F20"/>
                <w:spacing w:val="-10"/>
              </w:rPr>
              <w:t>5</w:t>
            </w:r>
          </w:hyperlink>
        </w:p>
        <w:p>
          <w:pPr>
            <w:pStyle w:val="TOC1"/>
            <w:tabs>
              <w:tab w:pos="9668" w:val="left" w:leader="dot"/>
            </w:tabs>
            <w:ind w:left="142" w:firstLine="0"/>
          </w:pPr>
          <w:hyperlink w:history="true" w:anchor="_bookmark1">
            <w:r>
              <w:rPr>
                <w:color w:val="231F20"/>
                <w:spacing w:val="-2"/>
              </w:rPr>
              <w:t>Wprowadzenie</w:t>
            </w:r>
            <w:r>
              <w:rPr>
                <w:rFonts w:ascii="Times New Roman"/>
                <w:b w:val="0"/>
                <w:color w:val="231F20"/>
              </w:rPr>
              <w:tab/>
            </w:r>
            <w:r>
              <w:rPr>
                <w:color w:val="231F20"/>
                <w:spacing w:val="-10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79" w:val="left" w:leader="none"/>
              <w:tab w:pos="9668" w:val="left" w:leader="dot"/>
            </w:tabs>
            <w:spacing w:line="240" w:lineRule="auto" w:before="237" w:after="0"/>
            <w:ind w:left="879" w:right="0" w:hanging="737"/>
            <w:jc w:val="left"/>
          </w:pPr>
          <w:hyperlink w:history="true" w:anchor="_bookmark2">
            <w:r>
              <w:rPr>
                <w:color w:val="231F20"/>
              </w:rPr>
              <w:t>Zakres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normy</w:t>
            </w:r>
            <w:r>
              <w:rPr>
                <w:rFonts w:ascii="Times New Roman"/>
                <w:b w:val="0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79" w:val="left" w:leader="none"/>
              <w:tab w:pos="9668" w:val="left" w:leader="dot"/>
            </w:tabs>
            <w:spacing w:line="240" w:lineRule="auto" w:before="237" w:after="0"/>
            <w:ind w:left="879" w:right="0" w:hanging="737"/>
            <w:jc w:val="left"/>
          </w:pPr>
          <w:hyperlink w:history="true" w:anchor="_bookmark2">
            <w:r>
              <w:rPr>
                <w:color w:val="231F20"/>
              </w:rPr>
              <w:t>Powołania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normatywne</w:t>
            </w:r>
            <w:r>
              <w:rPr>
                <w:rFonts w:ascii="Times New Roman" w:hAnsi="Times New Roman"/>
                <w:b w:val="0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79" w:val="left" w:leader="none"/>
              <w:tab w:pos="9668" w:val="left" w:leader="dot"/>
            </w:tabs>
            <w:spacing w:line="240" w:lineRule="auto" w:before="236" w:after="0"/>
            <w:ind w:left="879" w:right="0" w:hanging="737"/>
            <w:jc w:val="left"/>
          </w:pPr>
          <w:hyperlink w:history="true" w:anchor="_bookmark3">
            <w:r>
              <w:rPr>
                <w:color w:val="231F20"/>
              </w:rPr>
              <w:t>Terminy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definicje</w:t>
            </w:r>
            <w:r>
              <w:rPr>
                <w:rFonts w:ascii="Times New Roman"/>
                <w:b w:val="0"/>
                <w:color w:val="231F20"/>
              </w:rPr>
              <w:tab/>
            </w:r>
            <w:r>
              <w:rPr>
                <w:color w:val="231F20"/>
                <w:spacing w:val="-10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79" w:val="left" w:leader="none"/>
              <w:tab w:pos="9668" w:val="left" w:leader="dot"/>
            </w:tabs>
            <w:spacing w:line="240" w:lineRule="auto" w:before="237" w:after="0"/>
            <w:ind w:left="879" w:right="0" w:hanging="737"/>
            <w:jc w:val="left"/>
          </w:pPr>
          <w:hyperlink w:history="true" w:anchor="_bookmark4">
            <w:r>
              <w:rPr>
                <w:color w:val="231F20"/>
                <w:spacing w:val="-2"/>
              </w:rPr>
              <w:t>Jednostki</w:t>
            </w:r>
            <w:r>
              <w:rPr>
                <w:rFonts w:ascii="Times New Roman"/>
                <w:b w:val="0"/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79" w:val="left" w:leader="none"/>
              <w:tab w:pos="9668" w:val="left" w:leader="dot"/>
            </w:tabs>
            <w:spacing w:line="249" w:lineRule="auto" w:before="237" w:after="0"/>
            <w:ind w:left="879" w:right="707" w:hanging="737"/>
            <w:jc w:val="left"/>
          </w:pPr>
          <w:hyperlink w:history="true" w:anchor="_bookmark4">
            <w:r>
              <w:rPr>
                <w:color w:val="231F20"/>
              </w:rPr>
              <w:t>Metody obliczeń według pomiarów w licu przegród budowlanych i wykaz wskaźników</w:t>
            </w:r>
          </w:hyperlink>
          <w:r>
            <w:rPr>
              <w:color w:val="231F20"/>
            </w:rPr>
            <w:t> </w:t>
          </w:r>
          <w:hyperlink w:history="true" w:anchor="_bookmark4">
            <w:r>
              <w:rPr>
                <w:color w:val="231F20"/>
              </w:rPr>
              <w:t>dotyczących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przestrzennego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ukształtowania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budynku</w:t>
            </w:r>
            <w:r>
              <w:rPr>
                <w:rFonts w:ascii="Times New Roman" w:hAnsi="Times New Roman"/>
                <w:b w:val="0"/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79" w:val="left" w:leader="none"/>
              <w:tab w:pos="9668" w:val="left" w:leader="dot"/>
            </w:tabs>
            <w:spacing w:line="240" w:lineRule="auto" w:before="2" w:after="0"/>
            <w:ind w:left="879" w:right="0" w:hanging="737"/>
            <w:jc w:val="left"/>
          </w:pPr>
          <w:hyperlink w:history="true" w:anchor="_bookmark4">
            <w:r>
              <w:rPr>
                <w:color w:val="231F20"/>
                <w:spacing w:val="-2"/>
              </w:rPr>
              <w:t>Powierzchnie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668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4">
            <w:r>
              <w:rPr>
                <w:color w:val="231F20"/>
              </w:rPr>
              <w:t>Zasady </w:t>
            </w:r>
            <w:r>
              <w:rPr>
                <w:color w:val="231F20"/>
                <w:spacing w:val="-2"/>
              </w:rPr>
              <w:t>obliczeń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668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4">
            <w:r>
              <w:rPr>
                <w:color w:val="231F20"/>
              </w:rPr>
              <w:t>Powierzchnia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2"/>
              </w:rPr>
              <w:t>zabudowy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668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4">
            <w:r>
              <w:rPr>
                <w:color w:val="231F20"/>
              </w:rPr>
              <w:t>Powierzchnia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2"/>
              </w:rPr>
              <w:t>całkowita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72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5">
            <w:r>
              <w:rPr>
                <w:color w:val="231F20"/>
              </w:rPr>
              <w:t>Powierzchnia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2"/>
              </w:rPr>
              <w:t>wewnętrzna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72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5">
            <w:r>
              <w:rPr>
                <w:color w:val="231F20"/>
              </w:rPr>
              <w:t>Powierzchnia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2"/>
              </w:rPr>
              <w:t>netto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6">
            <w:r>
              <w:rPr>
                <w:color w:val="231F20"/>
              </w:rPr>
              <w:t>Powierzchnia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2"/>
              </w:rPr>
              <w:t>konstrukcji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6">
            <w:r>
              <w:rPr>
                <w:color w:val="231F20"/>
              </w:rPr>
              <w:t>Powierzchnia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2"/>
              </w:rPr>
              <w:t>użytkowa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7">
            <w:r>
              <w:rPr>
                <w:color w:val="231F20"/>
                <w:spacing w:val="-2"/>
              </w:rPr>
              <w:t>Powierzchnia</w:t>
            </w:r>
            <w:r>
              <w:rPr>
                <w:color w:val="231F20"/>
                <w:spacing w:val="23"/>
              </w:rPr>
              <w:t> </w:t>
            </w:r>
            <w:r>
              <w:rPr>
                <w:color w:val="231F20"/>
                <w:spacing w:val="-2"/>
              </w:rPr>
              <w:t>usługowo-techniczna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7">
            <w:r>
              <w:rPr>
                <w:color w:val="231F20"/>
              </w:rPr>
              <w:t>Powierzchnia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2"/>
              </w:rPr>
              <w:t>ruchu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3" w:val="left" w:leader="none"/>
              <w:tab w:pos="9557" w:val="left" w:leader="dot"/>
            </w:tabs>
            <w:spacing w:line="240" w:lineRule="auto" w:before="10" w:after="0"/>
            <w:ind w:left="873" w:right="0" w:hanging="731"/>
            <w:jc w:val="left"/>
          </w:pPr>
          <w:hyperlink w:history="true" w:anchor="_bookmark7">
            <w:r>
              <w:rPr>
                <w:color w:val="231F20"/>
              </w:rPr>
              <w:t>Powierzchnia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obudowy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budynku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4" w:val="left" w:leader="none"/>
              <w:tab w:pos="879" w:val="left" w:leader="none"/>
              <w:tab w:pos="9557" w:val="left" w:leader="dot"/>
            </w:tabs>
            <w:spacing w:line="249" w:lineRule="auto" w:before="10" w:after="0"/>
            <w:ind w:left="879" w:right="707" w:hanging="737"/>
            <w:jc w:val="left"/>
          </w:pPr>
          <w:hyperlink w:history="true" w:anchor="_bookmark8">
            <w:r>
              <w:rPr>
                <w:color w:val="231F20"/>
                <w:spacing w:val="-2"/>
              </w:rPr>
              <w:t>Powierzchnia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nieużyteczna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budynku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ze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względów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funkcjonalnych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powierzchnia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nieużyteczna</w:t>
            </w:r>
          </w:hyperlink>
          <w:r>
            <w:rPr>
              <w:color w:val="231F20"/>
              <w:spacing w:val="-2"/>
            </w:rPr>
            <w:t> </w:t>
          </w:r>
          <w:hyperlink w:history="true" w:anchor="_bookmark8">
            <w:r>
              <w:rPr>
                <w:color w:val="231F20"/>
                <w:spacing w:val="-6"/>
              </w:rPr>
              <w:t>budynku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6"/>
              </w:rPr>
              <w:t>ze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6"/>
              </w:rPr>
              <w:t>względów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6"/>
              </w:rPr>
              <w:t>konstrukcyjnych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" w:after="0"/>
            <w:ind w:left="879" w:right="0" w:hanging="737"/>
            <w:jc w:val="left"/>
          </w:pPr>
          <w:hyperlink w:history="true" w:anchor="_bookmark9">
            <w:r>
              <w:rPr>
                <w:color w:val="231F20"/>
                <w:spacing w:val="-2"/>
              </w:rPr>
              <w:t>Kubatury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9">
            <w:r>
              <w:rPr>
                <w:color w:val="231F20"/>
              </w:rPr>
              <w:t>Zasady </w:t>
            </w:r>
            <w:r>
              <w:rPr>
                <w:color w:val="231F20"/>
                <w:spacing w:val="-2"/>
              </w:rPr>
              <w:t>obliczeń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9" w:lineRule="auto" w:before="11" w:after="0"/>
            <w:ind w:left="879" w:right="707" w:hanging="737"/>
            <w:jc w:val="left"/>
          </w:pPr>
          <w:hyperlink w:history="true" w:anchor="_bookmark10">
            <w:r>
              <w:rPr>
                <w:color w:val="231F20"/>
                <w:spacing w:val="-2"/>
              </w:rPr>
              <w:t>Kubatura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brutto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budynków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lub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części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budynków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zamkniętych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ze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wszystkich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stron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stałymi</w:t>
            </w:r>
          </w:hyperlink>
          <w:r>
            <w:rPr>
              <w:color w:val="231F20"/>
              <w:spacing w:val="-2"/>
            </w:rPr>
            <w:t> </w:t>
          </w:r>
          <w:hyperlink w:history="true" w:anchor="_bookmark10">
            <w:r>
              <w:rPr>
                <w:color w:val="231F20"/>
              </w:rPr>
              <w:t>przegrodami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budowlanymi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</w:rPr>
              <w:t>przekrytych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</w:tabs>
            <w:spacing w:line="240" w:lineRule="auto" w:before="1" w:after="0"/>
            <w:ind w:left="879" w:right="0" w:hanging="737"/>
            <w:jc w:val="left"/>
          </w:pPr>
          <w:hyperlink w:history="true" w:anchor="_bookmark10">
            <w:r>
              <w:rPr>
                <w:color w:val="231F20"/>
                <w:spacing w:val="-6"/>
              </w:rPr>
              <w:t>Kubatura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-6"/>
              </w:rPr>
              <w:t>brutto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6"/>
              </w:rPr>
              <w:t>budynków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6"/>
              </w:rPr>
              <w:t>lub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6"/>
              </w:rPr>
              <w:t>części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6"/>
              </w:rPr>
              <w:t>budynków,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6"/>
              </w:rPr>
              <w:t>które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6"/>
              </w:rPr>
              <w:t>nie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6"/>
              </w:rPr>
              <w:t>są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6"/>
              </w:rPr>
              <w:t>zamknięte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6"/>
              </w:rPr>
              <w:t>ze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6"/>
              </w:rPr>
              <w:t>wszystkich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6"/>
              </w:rPr>
              <w:t>stron</w:t>
            </w:r>
          </w:hyperlink>
        </w:p>
        <w:p>
          <w:pPr>
            <w:pStyle w:val="TOC3"/>
            <w:tabs>
              <w:tab w:pos="9557" w:val="left" w:leader="dot"/>
            </w:tabs>
          </w:pPr>
          <w:hyperlink w:history="true" w:anchor="_bookmark10">
            <w:r>
              <w:rPr>
                <w:color w:val="231F20"/>
                <w:spacing w:val="-4"/>
              </w:rPr>
              <w:t>stałymi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4"/>
              </w:rPr>
              <w:t>przegrodami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4"/>
              </w:rPr>
              <w:t>budowlanymi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-4"/>
              </w:rPr>
              <w:t>na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4"/>
              </w:rPr>
              <w:t>całej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-4"/>
              </w:rPr>
              <w:t>wysokości,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4"/>
              </w:rPr>
              <w:t>lecz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4"/>
              </w:rPr>
              <w:t>są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-4"/>
              </w:rPr>
              <w:t>przekryte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9" w:lineRule="auto" w:before="10" w:after="0"/>
            <w:ind w:left="879" w:right="707" w:hanging="737"/>
            <w:jc w:val="left"/>
          </w:pPr>
          <w:hyperlink w:history="true" w:anchor="_bookmark11">
            <w:r>
              <w:rPr>
                <w:color w:val="231F20"/>
                <w:spacing w:val="-2"/>
              </w:rPr>
              <w:t>Kubatura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brutto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budynków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lub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części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budynków,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które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są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ograniczone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innymi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elementami</w:t>
            </w:r>
          </w:hyperlink>
          <w:r>
            <w:rPr>
              <w:color w:val="231F20"/>
              <w:spacing w:val="-2"/>
            </w:rPr>
            <w:t> </w:t>
          </w:r>
          <w:hyperlink w:history="true" w:anchor="_bookmark11">
            <w:r>
              <w:rPr>
                <w:color w:val="231F20"/>
                <w:spacing w:val="-4"/>
              </w:rPr>
              <w:t>budowlanymi,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4"/>
              </w:rPr>
              <w:t>lecz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-4"/>
              </w:rPr>
              <w:t>nie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-4"/>
              </w:rPr>
              <w:t>są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  <w:spacing w:val="-4"/>
              </w:rPr>
              <w:t>przekryte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2" w:after="0"/>
            <w:ind w:left="879" w:right="0" w:hanging="737"/>
            <w:jc w:val="left"/>
          </w:pPr>
          <w:hyperlink w:history="true" w:anchor="_bookmark11">
            <w:r>
              <w:rPr>
                <w:color w:val="231F20"/>
              </w:rPr>
              <w:t>Kubatura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</w:rPr>
              <w:t>netto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7"/>
              </w:rPr>
              <w:t>24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11">
            <w:r>
              <w:rPr>
                <w:color w:val="231F20"/>
              </w:rPr>
              <w:t>Kubatura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netto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wewnętrzna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11">
            <w:r>
              <w:rPr>
                <w:color w:val="231F20"/>
              </w:rPr>
              <w:t>Kubatura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netto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użytkowa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12">
            <w:r>
              <w:rPr>
                <w:color w:val="231F20"/>
              </w:rPr>
              <w:t>Kubatura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netto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usługowo-</w:t>
            </w:r>
            <w:r>
              <w:rPr>
                <w:color w:val="231F20"/>
                <w:spacing w:val="-2"/>
              </w:rPr>
              <w:t>techniczna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12">
            <w:r>
              <w:rPr>
                <w:color w:val="231F20"/>
              </w:rPr>
              <w:t>Kubatura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netto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ruchu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12">
            <w:r>
              <w:rPr>
                <w:color w:val="231F20"/>
              </w:rPr>
              <w:t>Przykłady </w:t>
            </w:r>
            <w:r>
              <w:rPr>
                <w:color w:val="231F20"/>
                <w:spacing w:val="-2"/>
              </w:rPr>
              <w:t>wskaźników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12">
            <w:r>
              <w:rPr>
                <w:color w:val="231F20"/>
                <w:w w:val="90"/>
              </w:rPr>
              <w:t>Wskaźniki</w:t>
            </w:r>
            <w:r>
              <w:rPr>
                <w:color w:val="231F20"/>
                <w:spacing w:val="-3"/>
                <w:w w:val="90"/>
              </w:rPr>
              <w:t> </w:t>
            </w:r>
            <w:r>
              <w:rPr>
                <w:color w:val="231F20"/>
                <w:spacing w:val="-2"/>
              </w:rPr>
              <w:t>powierzchniowe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13">
            <w:r>
              <w:rPr>
                <w:color w:val="231F20"/>
                <w:w w:val="90"/>
              </w:rPr>
              <w:t>Wskaźniki</w:t>
            </w:r>
            <w:r>
              <w:rPr>
                <w:color w:val="231F20"/>
                <w:spacing w:val="-3"/>
                <w:w w:val="90"/>
              </w:rPr>
              <w:t> </w:t>
            </w:r>
            <w:r>
              <w:rPr>
                <w:color w:val="231F20"/>
                <w:spacing w:val="-2"/>
              </w:rPr>
              <w:t>kubaturowe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14">
            <w:r>
              <w:rPr>
                <w:color w:val="231F20"/>
                <w:spacing w:val="-6"/>
              </w:rPr>
              <w:t>Wskaźniki</w:t>
            </w:r>
            <w:r>
              <w:rPr>
                <w:color w:val="231F20"/>
                <w:spacing w:val="20"/>
              </w:rPr>
              <w:t> </w:t>
            </w:r>
            <w:r>
              <w:rPr>
                <w:color w:val="231F20"/>
                <w:spacing w:val="-6"/>
              </w:rPr>
              <w:t>powierzchniowo-kubaturowe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7"/>
              </w:rPr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79" w:val="left" w:leader="none"/>
              <w:tab w:pos="9557" w:val="left" w:leader="dot"/>
            </w:tabs>
            <w:spacing w:line="240" w:lineRule="auto" w:before="10" w:after="0"/>
            <w:ind w:left="879" w:right="0" w:hanging="737"/>
            <w:jc w:val="left"/>
          </w:pPr>
          <w:hyperlink w:history="true" w:anchor="_bookmark14">
            <w:r>
              <w:rPr>
                <w:color w:val="231F20"/>
                <w:spacing w:val="-2"/>
              </w:rPr>
              <w:t>Komentarz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27</w:t>
            </w:r>
          </w:hyperlink>
        </w:p>
        <w:p>
          <w:pPr>
            <w:pStyle w:val="TOC1"/>
            <w:tabs>
              <w:tab w:pos="9557" w:val="left" w:leader="dot"/>
            </w:tabs>
            <w:spacing w:line="249" w:lineRule="auto"/>
            <w:ind w:right="707"/>
          </w:pPr>
          <w:hyperlink w:history="true" w:anchor="_bookmark15">
            <w:r>
              <w:rPr>
                <w:color w:val="231F20"/>
              </w:rPr>
              <w:t>Załącznik A </w:t>
            </w:r>
            <w:r>
              <w:rPr>
                <w:rFonts w:ascii="Arial MT" w:hAnsi="Arial MT"/>
                <w:b w:val="0"/>
                <w:color w:val="231F20"/>
              </w:rPr>
              <w:t>(informacyjny) </w:t>
            </w:r>
            <w:r>
              <w:rPr>
                <w:color w:val="231F20"/>
              </w:rPr>
              <w:t>Przykłady stosowania wskaźników charakteryzujących powierzchnie</w:t>
            </w:r>
          </w:hyperlink>
          <w:r>
            <w:rPr>
              <w:color w:val="231F20"/>
            </w:rPr>
            <w:t> </w:t>
          </w:r>
          <w:hyperlink w:history="true" w:anchor="_bookmark15">
            <w:r>
              <w:rPr>
                <w:color w:val="231F20"/>
              </w:rPr>
              <w:t>nieużyteczne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w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nowych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budynkach</w:t>
            </w:r>
            <w:r>
              <w:rPr>
                <w:rFonts w:ascii="Times New Roman" w:hAnsi="Times New Roman"/>
                <w:b w:val="0"/>
                <w:color w:val="231F20"/>
              </w:rPr>
              <w:tab/>
            </w:r>
            <w:r>
              <w:rPr>
                <w:color w:val="231F20"/>
                <w:spacing w:val="-5"/>
              </w:rPr>
              <w:t>28</w:t>
            </w:r>
          </w:hyperlink>
        </w:p>
        <w:p>
          <w:pPr>
            <w:pStyle w:val="TOC1"/>
            <w:tabs>
              <w:tab w:pos="9557" w:val="left" w:leader="dot"/>
            </w:tabs>
            <w:spacing w:before="228"/>
            <w:ind w:left="142" w:firstLine="0"/>
          </w:pPr>
          <w:hyperlink w:history="true" w:anchor="_bookmark16">
            <w:r>
              <w:rPr>
                <w:color w:val="231F20"/>
                <w:spacing w:val="-2"/>
              </w:rPr>
              <w:t>Bibliografia</w:t>
            </w:r>
            <w:r>
              <w:rPr>
                <w:rFonts w:ascii="Times New Roman"/>
                <w:b w:val="0"/>
                <w:color w:val="231F20"/>
              </w:rPr>
              <w:tab/>
            </w:r>
            <w:r>
              <w:rPr>
                <w:color w:val="231F20"/>
                <w:spacing w:val="-5"/>
              </w:rPr>
              <w:t>29</w:t>
            </w:r>
          </w:hyperlink>
        </w:p>
      </w:sdtContent>
    </w:sdt>
    <w:p>
      <w:pPr>
        <w:pStyle w:val="TOC1"/>
        <w:spacing w:after="0"/>
        <w:sectPr>
          <w:footerReference w:type="even" r:id="rId13"/>
          <w:footerReference w:type="default" r:id="rId14"/>
          <w:pgSz w:w="11910" w:h="16840"/>
          <w:pgMar w:header="0" w:footer="512" w:top="1240" w:bottom="700" w:left="708" w:right="708"/>
          <w:pgNumType w:start="4"/>
        </w:sectPr>
      </w:pPr>
    </w:p>
    <w:p>
      <w:pPr>
        <w:pStyle w:val="Heading2"/>
        <w:spacing w:before="220"/>
        <w:ind w:left="709"/>
      </w:pPr>
      <w:bookmarkStart w:name="Przedmowa" w:id="5"/>
      <w:bookmarkEnd w:id="5"/>
      <w:r>
        <w:rPr>
          <w:b w:val="0"/>
        </w:rPr>
      </w:r>
      <w:bookmarkStart w:name="_bookmark0" w:id="6"/>
      <w:bookmarkEnd w:id="6"/>
      <w:r>
        <w:rPr>
          <w:b w:val="0"/>
        </w:rPr>
      </w:r>
      <w:r>
        <w:rPr>
          <w:color w:val="231F20"/>
          <w:spacing w:val="-2"/>
        </w:rPr>
        <w:t>Przedmowa</w:t>
      </w:r>
    </w:p>
    <w:p>
      <w:pPr>
        <w:pStyle w:val="BodyText"/>
        <w:spacing w:line="249" w:lineRule="auto" w:before="257"/>
        <w:ind w:left="709" w:right="140"/>
        <w:jc w:val="both"/>
      </w:pPr>
      <w:r>
        <w:rPr>
          <w:color w:val="231F20"/>
          <w:spacing w:val="-4"/>
        </w:rPr>
        <w:t>ISO (Międzynarodowa Organizacja Normalizacyjna) jest ogólnoświatową federacją krajowych jednostek nor- </w:t>
      </w:r>
      <w:r>
        <w:rPr>
          <w:color w:val="231F20"/>
          <w:spacing w:val="-2"/>
        </w:rPr>
        <w:t>malizacyjnych (organizacji członkowskich ISO). Prace związane z przygotowaniem Norm Międzynarodowych </w:t>
      </w:r>
      <w:r>
        <w:rPr>
          <w:color w:val="231F20"/>
          <w:spacing w:val="-4"/>
        </w:rPr>
        <w:t>są zwykle wykonywane przez komitety techniczne ISO. Każda organizacja członkowska zainteresowana tema- tyką,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dla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której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powołano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komitet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techniczny,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prawo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być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reprezentowana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tym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komitecie.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Międzynarodowe organizacje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rządowe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pozarządowe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związane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ISO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również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mogą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brać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udział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tych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pracach.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ISO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ściśle współpracuje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Międzynarodową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Komisją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Elektrotechniczną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(IEC)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wszystkich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zagadnieniach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dotyczących </w:t>
      </w:r>
      <w:r>
        <w:rPr>
          <w:color w:val="231F20"/>
        </w:rPr>
        <w:t>normalizacji w elektrotechnice.</w:t>
      </w:r>
    </w:p>
    <w:p>
      <w:pPr>
        <w:pStyle w:val="BodyText"/>
        <w:spacing w:before="30"/>
      </w:pPr>
    </w:p>
    <w:p>
      <w:pPr>
        <w:pStyle w:val="BodyText"/>
        <w:spacing w:line="249" w:lineRule="auto" w:before="1"/>
        <w:ind w:left="709" w:right="140"/>
        <w:jc w:val="both"/>
      </w:pPr>
      <w:r>
        <w:rPr>
          <w:color w:val="231F20"/>
        </w:rPr>
        <w:t>Procedury</w:t>
      </w:r>
      <w:r>
        <w:rPr>
          <w:color w:val="231F20"/>
          <w:spacing w:val="-10"/>
        </w:rPr>
        <w:t> </w:t>
      </w:r>
      <w:r>
        <w:rPr>
          <w:color w:val="231F20"/>
        </w:rPr>
        <w:t>stosowane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opracowania</w:t>
      </w:r>
      <w:r>
        <w:rPr>
          <w:color w:val="231F20"/>
          <w:spacing w:val="-10"/>
        </w:rPr>
        <w:t> </w:t>
      </w:r>
      <w:r>
        <w:rPr>
          <w:color w:val="231F20"/>
        </w:rPr>
        <w:t>niniejszego</w:t>
      </w:r>
      <w:r>
        <w:rPr>
          <w:color w:val="231F20"/>
          <w:spacing w:val="-10"/>
        </w:rPr>
        <w:t> </w:t>
      </w:r>
      <w:r>
        <w:rPr>
          <w:color w:val="231F20"/>
        </w:rPr>
        <w:t>dokumentu,</w:t>
      </w:r>
      <w:r>
        <w:rPr>
          <w:color w:val="231F20"/>
          <w:spacing w:val="-10"/>
        </w:rPr>
        <w:t> </w:t>
      </w:r>
      <w:r>
        <w:rPr>
          <w:color w:val="231F20"/>
        </w:rPr>
        <w:t>jak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te</w:t>
      </w:r>
      <w:r>
        <w:rPr>
          <w:color w:val="231F20"/>
          <w:spacing w:val="-10"/>
        </w:rPr>
        <w:t> </w:t>
      </w:r>
      <w:r>
        <w:rPr>
          <w:color w:val="231F20"/>
        </w:rPr>
        <w:t>przeznaczone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jego</w:t>
      </w:r>
      <w:r>
        <w:rPr>
          <w:color w:val="231F20"/>
          <w:spacing w:val="-10"/>
        </w:rPr>
        <w:t> </w:t>
      </w:r>
      <w:r>
        <w:rPr>
          <w:color w:val="231F20"/>
        </w:rPr>
        <w:t>przyszłej</w:t>
      </w:r>
      <w:r>
        <w:rPr>
          <w:color w:val="231F20"/>
          <w:spacing w:val="-10"/>
        </w:rPr>
        <w:t> </w:t>
      </w:r>
      <w:r>
        <w:rPr>
          <w:color w:val="231F20"/>
        </w:rPr>
        <w:t>aktuali- </w:t>
      </w:r>
      <w:r>
        <w:rPr>
          <w:color w:val="231F20"/>
          <w:spacing w:val="-6"/>
        </w:rPr>
        <w:t>zacji,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opisano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Dyrektywach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ISO/IEC,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Część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1.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szczególności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wymagane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są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różne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kryteria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zatwierdzania </w:t>
      </w:r>
      <w:r>
        <w:rPr>
          <w:color w:val="231F20"/>
          <w:spacing w:val="-2"/>
        </w:rPr>
        <w:t>dla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różnych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typów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dokumentów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ISO.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Niniejszy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dokument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został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sporządzony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zgodnie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z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regułami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redagowania podanymi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Dyrektywach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ISO/IEC,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Część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2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(patrz</w:t>
      </w:r>
      <w:r>
        <w:rPr>
          <w:color w:val="231F20"/>
          <w:spacing w:val="-5"/>
        </w:rPr>
        <w:t> </w:t>
      </w:r>
      <w:hyperlink r:id="rId15">
        <w:r>
          <w:rPr>
            <w:color w:val="0000FF"/>
            <w:spacing w:val="-2"/>
            <w:u w:val="single" w:color="0000FF"/>
          </w:rPr>
          <w:t>www.iso.org/directives</w:t>
        </w:r>
      </w:hyperlink>
      <w:r>
        <w:rPr>
          <w:color w:val="231F20"/>
          <w:spacing w:val="-2"/>
        </w:rPr>
        <w:t>).</w:t>
      </w:r>
    </w:p>
    <w:p>
      <w:pPr>
        <w:pStyle w:val="BodyText"/>
        <w:spacing w:before="28"/>
      </w:pPr>
    </w:p>
    <w:p>
      <w:pPr>
        <w:pStyle w:val="BodyText"/>
        <w:spacing w:line="249" w:lineRule="auto"/>
        <w:ind w:left="709" w:right="140"/>
        <w:jc w:val="both"/>
      </w:pPr>
      <w:r>
        <w:rPr>
          <w:color w:val="231F20"/>
          <w:spacing w:val="-6"/>
        </w:rPr>
        <w:t>Zwraca się uwagę na fakt, że niektóre elementy niniejszego dokumentu mogą być przedmiotem praw patento- </w:t>
      </w:r>
      <w:r>
        <w:rPr>
          <w:color w:val="231F20"/>
        </w:rPr>
        <w:t>wych.</w:t>
      </w:r>
      <w:r>
        <w:rPr>
          <w:color w:val="231F20"/>
          <w:spacing w:val="-8"/>
        </w:rPr>
        <w:t> </w:t>
      </w:r>
      <w:r>
        <w:rPr>
          <w:color w:val="231F20"/>
        </w:rPr>
        <w:t>ISO</w:t>
      </w:r>
      <w:r>
        <w:rPr>
          <w:color w:val="231F20"/>
          <w:spacing w:val="-8"/>
        </w:rPr>
        <w:t> </w:t>
      </w:r>
      <w:r>
        <w:rPr>
          <w:color w:val="231F20"/>
        </w:rPr>
        <w:t>nie</w:t>
      </w:r>
      <w:r>
        <w:rPr>
          <w:color w:val="231F20"/>
          <w:spacing w:val="-8"/>
        </w:rPr>
        <w:t> </w:t>
      </w:r>
      <w:r>
        <w:rPr>
          <w:color w:val="231F20"/>
        </w:rPr>
        <w:t>ponosi</w:t>
      </w:r>
      <w:r>
        <w:rPr>
          <w:color w:val="231F20"/>
          <w:spacing w:val="-8"/>
        </w:rPr>
        <w:t> </w:t>
      </w:r>
      <w:r>
        <w:rPr>
          <w:color w:val="231F20"/>
        </w:rPr>
        <w:t>odpowiedzialności</w:t>
      </w:r>
      <w:r>
        <w:rPr>
          <w:color w:val="231F20"/>
          <w:spacing w:val="-7"/>
        </w:rPr>
        <w:t> </w:t>
      </w:r>
      <w:r>
        <w:rPr>
          <w:color w:val="231F20"/>
        </w:rPr>
        <w:t>za</w:t>
      </w:r>
      <w:r>
        <w:rPr>
          <w:color w:val="231F20"/>
          <w:spacing w:val="-8"/>
        </w:rPr>
        <w:t> </w:t>
      </w:r>
      <w:r>
        <w:rPr>
          <w:color w:val="231F20"/>
        </w:rPr>
        <w:t>zidentyfikowanie</w:t>
      </w:r>
      <w:r>
        <w:rPr>
          <w:color w:val="231F20"/>
          <w:spacing w:val="-7"/>
        </w:rPr>
        <w:t> </w:t>
      </w:r>
      <w:r>
        <w:rPr>
          <w:color w:val="231F20"/>
        </w:rPr>
        <w:t>jakichkolwiek</w:t>
      </w:r>
      <w:r>
        <w:rPr>
          <w:color w:val="231F20"/>
          <w:spacing w:val="-7"/>
        </w:rPr>
        <w:t> </w:t>
      </w:r>
      <w:r>
        <w:rPr>
          <w:color w:val="231F20"/>
        </w:rPr>
        <w:t>ani</w:t>
      </w:r>
      <w:r>
        <w:rPr>
          <w:color w:val="231F20"/>
          <w:spacing w:val="-8"/>
        </w:rPr>
        <w:t> </w:t>
      </w:r>
      <w:r>
        <w:rPr>
          <w:color w:val="231F20"/>
        </w:rPr>
        <w:t>wszystkich</w:t>
      </w:r>
      <w:r>
        <w:rPr>
          <w:color w:val="231F20"/>
          <w:spacing w:val="-8"/>
        </w:rPr>
        <w:t> </w:t>
      </w:r>
      <w:r>
        <w:rPr>
          <w:color w:val="231F20"/>
        </w:rPr>
        <w:t>takich</w:t>
      </w:r>
      <w:r>
        <w:rPr>
          <w:color w:val="231F20"/>
          <w:spacing w:val="-8"/>
        </w:rPr>
        <w:t> </w:t>
      </w:r>
      <w:r>
        <w:rPr>
          <w:color w:val="231F20"/>
        </w:rPr>
        <w:t>praw</w:t>
      </w:r>
      <w:r>
        <w:rPr>
          <w:color w:val="231F20"/>
          <w:spacing w:val="-8"/>
        </w:rPr>
        <w:t> </w:t>
      </w:r>
      <w:r>
        <w:rPr>
          <w:color w:val="231F20"/>
        </w:rPr>
        <w:t>paten- towych. Szczegóły jakichkolwiek praw patentowych zidentyfikowanych podczas opracowywania dokumentu </w:t>
      </w:r>
      <w:r>
        <w:rPr>
          <w:color w:val="231F20"/>
          <w:spacing w:val="-8"/>
        </w:rPr>
        <w:t>znajdują się we Wprowadzeniu i/lub na liście otrzymanych zgłoszeń patentowych ISO (patrz</w:t>
      </w:r>
      <w:r>
        <w:rPr>
          <w:color w:val="231F20"/>
          <w:spacing w:val="-9"/>
        </w:rPr>
        <w:t> </w:t>
      </w:r>
      <w:hyperlink r:id="rId16">
        <w:r>
          <w:rPr>
            <w:color w:val="0000FF"/>
            <w:spacing w:val="-8"/>
            <w:u w:val="single" w:color="0000FF"/>
          </w:rPr>
          <w:t>www.iso.org/patents</w:t>
        </w:r>
      </w:hyperlink>
      <w:r>
        <w:rPr>
          <w:color w:val="231F20"/>
          <w:spacing w:val="-8"/>
        </w:rPr>
        <w:t>).</w:t>
      </w:r>
    </w:p>
    <w:p>
      <w:pPr>
        <w:pStyle w:val="BodyText"/>
        <w:spacing w:before="28"/>
      </w:pPr>
    </w:p>
    <w:p>
      <w:pPr>
        <w:pStyle w:val="BodyText"/>
        <w:spacing w:line="249" w:lineRule="auto"/>
        <w:ind w:left="709" w:right="140"/>
        <w:jc w:val="both"/>
      </w:pPr>
      <w:r>
        <w:rPr>
          <w:color w:val="231F20"/>
          <w:spacing w:val="-4"/>
        </w:rPr>
        <w:t>Każda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nazwa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handlowa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wyrobu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używana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niniejszym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dokumencie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jest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informacją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podaną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dla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wygody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użyt- </w:t>
      </w:r>
      <w:r>
        <w:rPr>
          <w:color w:val="231F20"/>
        </w:rPr>
        <w:t>kowników i nie jest wyrazem propagowania tego wyrobu.</w:t>
      </w:r>
    </w:p>
    <w:p>
      <w:pPr>
        <w:pStyle w:val="BodyText"/>
        <w:spacing w:before="27"/>
      </w:pPr>
    </w:p>
    <w:p>
      <w:pPr>
        <w:pStyle w:val="BodyText"/>
        <w:spacing w:line="249" w:lineRule="auto"/>
        <w:ind w:left="709" w:right="140"/>
        <w:jc w:val="both"/>
      </w:pPr>
      <w:r>
        <w:rPr>
          <w:color w:val="231F20"/>
          <w:w w:val="90"/>
        </w:rPr>
        <w:t>Objaśnienie zasad dobrowolnego stosowania norm, znaczenia specyficznych określeń i wyrażeń ISO odnoszą- </w:t>
      </w:r>
      <w:r>
        <w:rPr>
          <w:color w:val="231F20"/>
          <w:spacing w:val="-4"/>
        </w:rPr>
        <w:t>cych się do oceny zgodności, a także informacje na temat zgodności ISO z zasadami Światowej Organizacji </w:t>
      </w:r>
      <w:r>
        <w:rPr>
          <w:color w:val="231F20"/>
          <w:spacing w:val="-8"/>
        </w:rPr>
        <w:t>Handlu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(WTO)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w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sprawie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barier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technicznych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w</w:t>
      </w:r>
      <w:r>
        <w:rPr>
          <w:color w:val="231F20"/>
        </w:rPr>
        <w:t> </w:t>
      </w:r>
      <w:r>
        <w:rPr>
          <w:color w:val="231F20"/>
          <w:spacing w:val="-8"/>
        </w:rPr>
        <w:t>handlu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(TBT)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można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znaleźć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pod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następującym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adresem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URL: </w:t>
      </w:r>
      <w:hyperlink r:id="rId17">
        <w:r>
          <w:rPr>
            <w:color w:val="0000FF"/>
            <w:spacing w:val="-2"/>
            <w:u w:val="single" w:color="0000FF"/>
          </w:rPr>
          <w:t>www.iso.org/iso/foreword.html</w:t>
        </w:r>
      </w:hyperlink>
      <w:r>
        <w:rPr>
          <w:color w:val="231F20"/>
          <w:spacing w:val="-2"/>
        </w:rPr>
        <w:t>.</w:t>
      </w:r>
    </w:p>
    <w:p>
      <w:pPr>
        <w:pStyle w:val="BodyText"/>
        <w:spacing w:before="29"/>
      </w:pPr>
    </w:p>
    <w:p>
      <w:pPr>
        <w:spacing w:line="249" w:lineRule="auto" w:before="0"/>
        <w:ind w:left="709" w:right="140" w:firstLine="0"/>
        <w:jc w:val="both"/>
        <w:rPr>
          <w:rFonts w:ascii="Arial" w:hAnsi="Arial"/>
          <w:i/>
          <w:sz w:val="20"/>
        </w:rPr>
      </w:pPr>
      <w:r>
        <w:rPr>
          <w:color w:val="231F20"/>
          <w:sz w:val="20"/>
        </w:rPr>
        <w:t>Niniejszy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dokument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został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opracowany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przez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Komitet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Techniczny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ISO/TC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59</w:t>
      </w:r>
      <w:r>
        <w:rPr>
          <w:color w:val="231F20"/>
          <w:spacing w:val="-6"/>
          <w:sz w:val="20"/>
        </w:rPr>
        <w:t> </w:t>
      </w:r>
      <w:r>
        <w:rPr>
          <w:rFonts w:ascii="Arial" w:hAnsi="Arial"/>
          <w:i/>
          <w:color w:val="231F20"/>
          <w:sz w:val="20"/>
        </w:rPr>
        <w:t>Konstrukcje</w:t>
      </w:r>
      <w:r>
        <w:rPr>
          <w:rFonts w:ascii="Arial" w:hAnsi="Arial"/>
          <w:i/>
          <w:color w:val="231F20"/>
          <w:spacing w:val="-5"/>
          <w:sz w:val="20"/>
        </w:rPr>
        <w:t> </w:t>
      </w:r>
      <w:r>
        <w:rPr>
          <w:rFonts w:ascii="Arial" w:hAnsi="Arial"/>
          <w:i/>
          <w:color w:val="231F20"/>
          <w:sz w:val="20"/>
        </w:rPr>
        <w:t>budowlane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Podko- mitet SC 15 </w:t>
      </w:r>
      <w:r>
        <w:rPr>
          <w:rFonts w:ascii="Arial" w:hAnsi="Arial"/>
          <w:i/>
          <w:color w:val="231F20"/>
          <w:sz w:val="20"/>
        </w:rPr>
        <w:t>Struktura wymagań użytkowych w budownictwie.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249" w:lineRule="auto"/>
        <w:ind w:left="709" w:right="140"/>
        <w:jc w:val="both"/>
      </w:pPr>
      <w:r>
        <w:rPr>
          <w:color w:val="231F20"/>
        </w:rPr>
        <w:t>Niniejsze</w:t>
      </w:r>
      <w:r>
        <w:rPr>
          <w:color w:val="231F20"/>
          <w:spacing w:val="-12"/>
        </w:rPr>
        <w:t> </w:t>
      </w:r>
      <w:r>
        <w:rPr>
          <w:color w:val="231F20"/>
        </w:rPr>
        <w:t>trzecie</w:t>
      </w:r>
      <w:r>
        <w:rPr>
          <w:color w:val="231F20"/>
          <w:spacing w:val="-12"/>
        </w:rPr>
        <w:t> </w:t>
      </w:r>
      <w:r>
        <w:rPr>
          <w:color w:val="231F20"/>
        </w:rPr>
        <w:t>wydanie</w:t>
      </w:r>
      <w:r>
        <w:rPr>
          <w:color w:val="231F20"/>
          <w:spacing w:val="-12"/>
        </w:rPr>
        <w:t> </w:t>
      </w:r>
      <w:r>
        <w:rPr>
          <w:color w:val="231F20"/>
        </w:rPr>
        <w:t>normy</w:t>
      </w:r>
      <w:r>
        <w:rPr>
          <w:color w:val="231F20"/>
          <w:spacing w:val="-12"/>
        </w:rPr>
        <w:t> </w:t>
      </w:r>
      <w:r>
        <w:rPr>
          <w:color w:val="231F20"/>
        </w:rPr>
        <w:t>unieważnia</w:t>
      </w:r>
      <w:r>
        <w:rPr>
          <w:color w:val="231F20"/>
          <w:spacing w:val="-12"/>
        </w:rPr>
        <w:t> </w:t>
      </w: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</w:rPr>
        <w:t>zastępuje</w:t>
      </w:r>
      <w:r>
        <w:rPr>
          <w:color w:val="231F20"/>
          <w:spacing w:val="-12"/>
        </w:rPr>
        <w:t> </w:t>
      </w:r>
      <w:r>
        <w:rPr>
          <w:color w:val="231F20"/>
        </w:rPr>
        <w:t>jej</w:t>
      </w:r>
      <w:r>
        <w:rPr>
          <w:color w:val="231F20"/>
          <w:spacing w:val="-12"/>
        </w:rPr>
        <w:t> </w:t>
      </w:r>
      <w:r>
        <w:rPr>
          <w:color w:val="231F20"/>
        </w:rPr>
        <w:t>drugie</w:t>
      </w:r>
      <w:r>
        <w:rPr>
          <w:color w:val="231F20"/>
          <w:spacing w:val="-12"/>
        </w:rPr>
        <w:t> </w:t>
      </w:r>
      <w:r>
        <w:rPr>
          <w:color w:val="231F20"/>
        </w:rPr>
        <w:t>wydanie</w:t>
      </w:r>
      <w:r>
        <w:rPr>
          <w:color w:val="231F20"/>
          <w:spacing w:val="-12"/>
        </w:rPr>
        <w:t> </w:t>
      </w:r>
      <w:r>
        <w:rPr>
          <w:color w:val="231F20"/>
        </w:rPr>
        <w:t>(ISO</w:t>
      </w:r>
      <w:r>
        <w:rPr>
          <w:color w:val="231F20"/>
          <w:spacing w:val="-12"/>
        </w:rPr>
        <w:t> </w:t>
      </w:r>
      <w:r>
        <w:rPr>
          <w:color w:val="231F20"/>
        </w:rPr>
        <w:t>9836:2011),</w:t>
      </w:r>
      <w:r>
        <w:rPr>
          <w:color w:val="231F20"/>
          <w:spacing w:val="-12"/>
        </w:rPr>
        <w:t> </w:t>
      </w:r>
      <w:r>
        <w:rPr>
          <w:color w:val="231F20"/>
        </w:rPr>
        <w:t>w</w:t>
      </w:r>
      <w:r>
        <w:rPr>
          <w:color w:val="231F20"/>
          <w:spacing w:val="-13"/>
        </w:rPr>
        <w:t> </w:t>
      </w:r>
      <w:r>
        <w:rPr>
          <w:color w:val="231F20"/>
        </w:rPr>
        <w:t>którym</w:t>
      </w:r>
      <w:r>
        <w:rPr>
          <w:color w:val="231F20"/>
          <w:spacing w:val="-12"/>
        </w:rPr>
        <w:t> </w:t>
      </w:r>
      <w:r>
        <w:rPr>
          <w:color w:val="231F20"/>
        </w:rPr>
        <w:t>wpro- wadzono niewielkie zmiany i korekty redakcyjne:</w:t>
      </w:r>
    </w:p>
    <w:p>
      <w:pPr>
        <w:pStyle w:val="ListParagraph"/>
        <w:numPr>
          <w:ilvl w:val="0"/>
          <w:numId w:val="2"/>
        </w:numPr>
        <w:tabs>
          <w:tab w:pos="1049" w:val="left" w:leader="none"/>
        </w:tabs>
        <w:spacing w:line="240" w:lineRule="auto" w:before="172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Rysunku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zmieniono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zakres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powierzchni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wewnętrznej;</w:t>
      </w:r>
    </w:p>
    <w:p>
      <w:pPr>
        <w:pStyle w:val="ListParagraph"/>
        <w:numPr>
          <w:ilvl w:val="0"/>
          <w:numId w:val="2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w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5.1.7.3,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ISO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6241:1984,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Tablice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zmieniono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ISO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19208:2016,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Tablica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B.1;</w:t>
      </w:r>
    </w:p>
    <w:p>
      <w:pPr>
        <w:pStyle w:val="ListParagraph"/>
        <w:numPr>
          <w:ilvl w:val="0"/>
          <w:numId w:val="2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w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5.4,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ISO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6241:1984,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Tablica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2,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zmieniono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ISO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19208:2016</w:t>
      </w:r>
      <w:r>
        <w:rPr>
          <w:color w:val="006FC0"/>
          <w:spacing w:val="-2"/>
          <w:sz w:val="20"/>
        </w:rPr>
        <w:t>;</w:t>
      </w:r>
    </w:p>
    <w:p>
      <w:pPr>
        <w:pStyle w:val="ListParagraph"/>
        <w:numPr>
          <w:ilvl w:val="0"/>
          <w:numId w:val="2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w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Bibliografii,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dodano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powołania;</w:t>
      </w:r>
    </w:p>
    <w:p>
      <w:pPr>
        <w:pStyle w:val="ListParagraph"/>
        <w:numPr>
          <w:ilvl w:val="0"/>
          <w:numId w:val="2"/>
        </w:numPr>
        <w:tabs>
          <w:tab w:pos="1049" w:val="left" w:leader="none"/>
        </w:tabs>
        <w:spacing w:line="240" w:lineRule="auto" w:before="181" w:after="0"/>
        <w:ind w:left="1049" w:right="0" w:hanging="340"/>
        <w:jc w:val="left"/>
        <w:rPr>
          <w:sz w:val="20"/>
        </w:rPr>
      </w:pPr>
      <w:r>
        <w:rPr>
          <w:color w:val="231F20"/>
          <w:spacing w:val="-6"/>
          <w:sz w:val="20"/>
        </w:rPr>
        <w:t>w 5.1.11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g)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A.2,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skorygowano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liczbę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wyrażoną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przez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ułamek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dziesiętny.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Heading2"/>
        <w:spacing w:before="220"/>
      </w:pPr>
      <w:bookmarkStart w:name="Wprowadzenie" w:id="7"/>
      <w:bookmarkEnd w:id="7"/>
      <w:r>
        <w:rPr>
          <w:b w:val="0"/>
        </w:rPr>
      </w:r>
      <w:bookmarkStart w:name="_bookmark1" w:id="8"/>
      <w:bookmarkEnd w:id="8"/>
      <w:r>
        <w:rPr>
          <w:b w:val="0"/>
        </w:rPr>
      </w:r>
      <w:r>
        <w:rPr>
          <w:color w:val="231F20"/>
          <w:spacing w:val="-2"/>
        </w:rPr>
        <w:t>Wprowadzenie</w:t>
      </w:r>
    </w:p>
    <w:p>
      <w:pPr>
        <w:pStyle w:val="BodyText"/>
        <w:spacing w:line="249" w:lineRule="auto" w:before="257"/>
        <w:ind w:left="142" w:right="706"/>
        <w:jc w:val="both"/>
      </w:pPr>
      <w:r>
        <w:rPr>
          <w:color w:val="231F20"/>
        </w:rPr>
        <w:t>Wskaźniki</w:t>
      </w:r>
      <w:r>
        <w:rPr>
          <w:color w:val="231F20"/>
          <w:spacing w:val="-12"/>
        </w:rPr>
        <w:t> </w:t>
      </w:r>
      <w:r>
        <w:rPr>
          <w:color w:val="231F20"/>
        </w:rPr>
        <w:t>powierzchniowe</w:t>
      </w:r>
      <w:r>
        <w:rPr>
          <w:color w:val="231F20"/>
          <w:spacing w:val="-13"/>
        </w:rPr>
        <w:t> </w:t>
      </w: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</w:rPr>
        <w:t>kubaturowe,</w:t>
      </w:r>
      <w:r>
        <w:rPr>
          <w:color w:val="231F20"/>
          <w:spacing w:val="-13"/>
        </w:rPr>
        <w:t> </w:t>
      </w:r>
      <w:r>
        <w:rPr>
          <w:color w:val="231F20"/>
        </w:rPr>
        <w:t>obliczone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podstawie</w:t>
      </w:r>
      <w:r>
        <w:rPr>
          <w:color w:val="231F20"/>
          <w:spacing w:val="-12"/>
        </w:rPr>
        <w:t> </w:t>
      </w:r>
      <w:r>
        <w:rPr>
          <w:color w:val="231F20"/>
        </w:rPr>
        <w:t>pomiarów</w:t>
      </w:r>
      <w:r>
        <w:rPr>
          <w:color w:val="231F20"/>
          <w:spacing w:val="-13"/>
        </w:rPr>
        <w:t> </w:t>
      </w:r>
      <w:r>
        <w:rPr>
          <w:color w:val="231F20"/>
        </w:rPr>
        <w:t>przestrzeni</w:t>
      </w:r>
      <w:r>
        <w:rPr>
          <w:color w:val="231F20"/>
          <w:spacing w:val="-12"/>
        </w:rPr>
        <w:t> </w:t>
      </w:r>
      <w:r>
        <w:rPr>
          <w:color w:val="231F20"/>
        </w:rPr>
        <w:t>w</w:t>
      </w:r>
      <w:r>
        <w:rPr>
          <w:color w:val="231F20"/>
          <w:spacing w:val="-13"/>
        </w:rPr>
        <w:t> </w:t>
      </w:r>
      <w:r>
        <w:rPr>
          <w:color w:val="231F20"/>
        </w:rPr>
        <w:t>budynkach,</w:t>
      </w:r>
      <w:r>
        <w:rPr>
          <w:color w:val="231F20"/>
          <w:spacing w:val="-12"/>
        </w:rPr>
        <w:t> </w:t>
      </w:r>
      <w:r>
        <w:rPr>
          <w:color w:val="231F20"/>
        </w:rPr>
        <w:t>mogą </w:t>
      </w:r>
      <w:r>
        <w:rPr>
          <w:color w:val="231F20"/>
          <w:spacing w:val="-2"/>
        </w:rPr>
        <w:t>być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wykorzystywane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porównywania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wzajemnych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relacji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przestrzeni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lub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kubatur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zbliżonych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względem </w:t>
      </w:r>
      <w:r>
        <w:rPr>
          <w:color w:val="231F20"/>
          <w:spacing w:val="-8"/>
        </w:rPr>
        <w:t>funkcjonalnym.</w:t>
      </w:r>
      <w:r>
        <w:rPr>
          <w:color w:val="231F20"/>
        </w:rPr>
        <w:t> </w:t>
      </w:r>
      <w:r>
        <w:rPr>
          <w:color w:val="231F20"/>
          <w:spacing w:val="-8"/>
        </w:rPr>
        <w:t>Wskaźniki</w:t>
      </w:r>
      <w:r>
        <w:rPr>
          <w:color w:val="231F20"/>
        </w:rPr>
        <w:t> </w:t>
      </w:r>
      <w:r>
        <w:rPr>
          <w:color w:val="231F20"/>
          <w:spacing w:val="-8"/>
        </w:rPr>
        <w:t>te,</w:t>
      </w:r>
      <w:r>
        <w:rPr>
          <w:color w:val="231F20"/>
        </w:rPr>
        <w:t> </w:t>
      </w:r>
      <w:r>
        <w:rPr>
          <w:color w:val="231F20"/>
          <w:spacing w:val="-8"/>
        </w:rPr>
        <w:t>traktowane</w:t>
      </w:r>
      <w:r>
        <w:rPr>
          <w:color w:val="231F20"/>
        </w:rPr>
        <w:t> </w:t>
      </w:r>
      <w:r>
        <w:rPr>
          <w:color w:val="231F20"/>
          <w:spacing w:val="-8"/>
        </w:rPr>
        <w:t>we</w:t>
      </w:r>
      <w:r>
        <w:rPr>
          <w:color w:val="231F20"/>
        </w:rPr>
        <w:t> </w:t>
      </w:r>
      <w:r>
        <w:rPr>
          <w:color w:val="231F20"/>
          <w:spacing w:val="-8"/>
        </w:rPr>
        <w:t>wstępnej</w:t>
      </w:r>
      <w:r>
        <w:rPr>
          <w:color w:val="231F20"/>
        </w:rPr>
        <w:t> </w:t>
      </w:r>
      <w:r>
        <w:rPr>
          <w:color w:val="231F20"/>
          <w:spacing w:val="-8"/>
        </w:rPr>
        <w:t>fazie</w:t>
      </w:r>
      <w:r>
        <w:rPr>
          <w:color w:val="231F20"/>
        </w:rPr>
        <w:t> </w:t>
      </w:r>
      <w:r>
        <w:rPr>
          <w:color w:val="231F20"/>
          <w:spacing w:val="-8"/>
        </w:rPr>
        <w:t>projektu</w:t>
      </w:r>
      <w:r>
        <w:rPr>
          <w:color w:val="231F20"/>
        </w:rPr>
        <w:t> </w:t>
      </w:r>
      <w:r>
        <w:rPr>
          <w:color w:val="231F20"/>
          <w:spacing w:val="-8"/>
        </w:rPr>
        <w:t>jako</w:t>
      </w:r>
      <w:r>
        <w:rPr>
          <w:color w:val="231F20"/>
        </w:rPr>
        <w:t> </w:t>
      </w:r>
      <w:r>
        <w:rPr>
          <w:color w:val="231F20"/>
          <w:spacing w:val="-8"/>
        </w:rPr>
        <w:t>wartości</w:t>
      </w:r>
      <w:r>
        <w:rPr>
          <w:color w:val="231F20"/>
        </w:rPr>
        <w:t> </w:t>
      </w:r>
      <w:r>
        <w:rPr>
          <w:color w:val="231F20"/>
          <w:spacing w:val="-8"/>
        </w:rPr>
        <w:t>przybliżone,</w:t>
      </w:r>
      <w:r>
        <w:rPr>
          <w:color w:val="231F20"/>
        </w:rPr>
        <w:t> </w:t>
      </w:r>
      <w:r>
        <w:rPr>
          <w:color w:val="231F20"/>
          <w:spacing w:val="-8"/>
        </w:rPr>
        <w:t>mogą</w:t>
      </w:r>
      <w:r>
        <w:rPr>
          <w:color w:val="231F20"/>
        </w:rPr>
        <w:t> </w:t>
      </w:r>
      <w:r>
        <w:rPr>
          <w:color w:val="231F20"/>
          <w:spacing w:val="-8"/>
        </w:rPr>
        <w:t>stanowić </w:t>
      </w:r>
      <w:r>
        <w:rPr>
          <w:color w:val="231F20"/>
        </w:rPr>
        <w:t>podstawę do dalszych prac projektowych.</w:t>
      </w:r>
    </w:p>
    <w:p>
      <w:pPr>
        <w:pStyle w:val="BodyText"/>
        <w:spacing w:before="28"/>
      </w:pPr>
    </w:p>
    <w:p>
      <w:pPr>
        <w:pStyle w:val="BodyText"/>
        <w:spacing w:line="249" w:lineRule="auto"/>
        <w:ind w:left="142" w:right="707"/>
        <w:jc w:val="both"/>
      </w:pPr>
      <w:r>
        <w:rPr>
          <w:color w:val="231F20"/>
          <w:spacing w:val="-6"/>
        </w:rPr>
        <w:t>Odniesienie się do wskaźników powierzchniowych i kubaturowych umożliwia pośrednio ocenę ekonomiczną </w:t>
      </w:r>
      <w:r>
        <w:rPr>
          <w:color w:val="231F20"/>
          <w:spacing w:val="-2"/>
        </w:rPr>
        <w:t>istniejących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lub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projektowanych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budynków.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tak,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stosunek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powierzchni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zajętej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przez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budynek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powierzchni </w:t>
      </w:r>
      <w:r>
        <w:rPr>
          <w:color w:val="231F20"/>
        </w:rPr>
        <w:t>użytkowej</w:t>
      </w:r>
      <w:r>
        <w:rPr>
          <w:color w:val="231F20"/>
          <w:spacing w:val="-6"/>
        </w:rPr>
        <w:t> </w:t>
      </w:r>
      <w:r>
        <w:rPr>
          <w:color w:val="231F20"/>
        </w:rPr>
        <w:t>wskazuje,</w:t>
      </w:r>
      <w:r>
        <w:rPr>
          <w:color w:val="231F20"/>
          <w:spacing w:val="-6"/>
        </w:rPr>
        <w:t> </w:t>
      </w:r>
      <w:r>
        <w:rPr>
          <w:color w:val="231F20"/>
        </w:rPr>
        <w:t>czy</w:t>
      </w:r>
      <w:r>
        <w:rPr>
          <w:color w:val="231F20"/>
          <w:spacing w:val="-6"/>
        </w:rPr>
        <w:t> </w:t>
      </w:r>
      <w:r>
        <w:rPr>
          <w:color w:val="231F20"/>
        </w:rPr>
        <w:t>nakłady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roboty</w:t>
      </w:r>
      <w:r>
        <w:rPr>
          <w:color w:val="231F20"/>
          <w:spacing w:val="-6"/>
        </w:rPr>
        <w:t> </w:t>
      </w:r>
      <w:r>
        <w:rPr>
          <w:color w:val="231F20"/>
        </w:rPr>
        <w:t>budowlane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materiały</w:t>
      </w:r>
      <w:r>
        <w:rPr>
          <w:color w:val="231F20"/>
          <w:spacing w:val="-6"/>
        </w:rPr>
        <w:t> </w:t>
      </w:r>
      <w:r>
        <w:rPr>
          <w:color w:val="231F20"/>
        </w:rPr>
        <w:t>zostały</w:t>
      </w:r>
      <w:r>
        <w:rPr>
          <w:color w:val="231F20"/>
          <w:spacing w:val="-6"/>
        </w:rPr>
        <w:t> </w:t>
      </w:r>
      <w:r>
        <w:rPr>
          <w:color w:val="231F20"/>
        </w:rPr>
        <w:t>właściwie</w:t>
      </w:r>
      <w:r>
        <w:rPr>
          <w:color w:val="231F20"/>
          <w:spacing w:val="-6"/>
        </w:rPr>
        <w:t> </w:t>
      </w:r>
      <w:r>
        <w:rPr>
          <w:color w:val="231F20"/>
        </w:rPr>
        <w:t>wykorzystane.</w:t>
      </w:r>
    </w:p>
    <w:p>
      <w:pPr>
        <w:pStyle w:val="BodyText"/>
        <w:spacing w:before="28"/>
      </w:pPr>
    </w:p>
    <w:p>
      <w:pPr>
        <w:pStyle w:val="BodyText"/>
        <w:spacing w:line="249" w:lineRule="auto"/>
        <w:ind w:left="142" w:right="707"/>
        <w:jc w:val="both"/>
      </w:pPr>
      <w:r>
        <w:rPr>
          <w:color w:val="231F20"/>
        </w:rPr>
        <w:t>Podobnie stosunek powierzchni obudowy budynku do powierzchni użytkowej budynku wskazuje na poziom nakładów na obudowę i na koszty eksploatacji systemów ogrzewczych i klimatyzacyjnych.</w:t>
      </w:r>
    </w:p>
    <w:p>
      <w:pPr>
        <w:pStyle w:val="BodyText"/>
        <w:spacing w:before="26"/>
      </w:pPr>
    </w:p>
    <w:p>
      <w:pPr>
        <w:pStyle w:val="BodyText"/>
        <w:spacing w:line="249" w:lineRule="auto" w:before="1"/>
        <w:ind w:left="142" w:right="707"/>
        <w:jc w:val="both"/>
      </w:pPr>
      <w:r>
        <w:rPr>
          <w:color w:val="231F20"/>
          <w:spacing w:val="-4"/>
        </w:rPr>
        <w:t>Wskaźniki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powierzchniowe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kubaturowe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związane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parametrami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ekonomicznymi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budynku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zawierają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również </w:t>
      </w:r>
      <w:r>
        <w:rPr>
          <w:color w:val="231F20"/>
        </w:rPr>
        <w:t>podstawowe</w:t>
      </w:r>
      <w:r>
        <w:rPr>
          <w:color w:val="231F20"/>
          <w:spacing w:val="36"/>
        </w:rPr>
        <w:t> </w:t>
      </w:r>
      <w:r>
        <w:rPr>
          <w:color w:val="231F20"/>
        </w:rPr>
        <w:t>dane</w:t>
      </w:r>
      <w:r>
        <w:rPr>
          <w:color w:val="231F20"/>
          <w:spacing w:val="36"/>
        </w:rPr>
        <w:t> </w:t>
      </w:r>
      <w:r>
        <w:rPr>
          <w:color w:val="231F20"/>
        </w:rPr>
        <w:t>do</w:t>
      </w:r>
      <w:r>
        <w:rPr>
          <w:color w:val="231F20"/>
          <w:spacing w:val="36"/>
        </w:rPr>
        <w:t> </w:t>
      </w:r>
      <w:r>
        <w:rPr>
          <w:color w:val="231F20"/>
        </w:rPr>
        <w:t>obliczania</w:t>
      </w:r>
      <w:r>
        <w:rPr>
          <w:color w:val="231F20"/>
          <w:spacing w:val="36"/>
        </w:rPr>
        <w:t> </w:t>
      </w:r>
      <w:r>
        <w:rPr>
          <w:color w:val="231F20"/>
        </w:rPr>
        <w:t>i</w:t>
      </w:r>
      <w:r>
        <w:rPr>
          <w:color w:val="231F20"/>
          <w:spacing w:val="39"/>
        </w:rPr>
        <w:t> </w:t>
      </w:r>
      <w:r>
        <w:rPr>
          <w:color w:val="231F20"/>
        </w:rPr>
        <w:t>porównywania</w:t>
      </w:r>
      <w:r>
        <w:rPr>
          <w:color w:val="231F20"/>
          <w:spacing w:val="36"/>
        </w:rPr>
        <w:t> </w:t>
      </w:r>
      <w:r>
        <w:rPr>
          <w:color w:val="231F20"/>
        </w:rPr>
        <w:t>kosztów</w:t>
      </w:r>
      <w:r>
        <w:rPr>
          <w:color w:val="231F20"/>
          <w:spacing w:val="36"/>
        </w:rPr>
        <w:t> </w:t>
      </w:r>
      <w:r>
        <w:rPr>
          <w:color w:val="231F20"/>
        </w:rPr>
        <w:t>inwestycyjnych</w:t>
      </w:r>
      <w:r>
        <w:rPr>
          <w:color w:val="231F20"/>
          <w:spacing w:val="36"/>
        </w:rPr>
        <w:t> </w:t>
      </w:r>
      <w:r>
        <w:rPr>
          <w:color w:val="231F20"/>
        </w:rPr>
        <w:t>oraz</w:t>
      </w:r>
      <w:r>
        <w:rPr>
          <w:color w:val="231F20"/>
          <w:spacing w:val="36"/>
        </w:rPr>
        <w:t> </w:t>
      </w:r>
      <w:r>
        <w:rPr>
          <w:color w:val="231F20"/>
        </w:rPr>
        <w:t>kosztów</w:t>
      </w:r>
      <w:r>
        <w:rPr>
          <w:color w:val="231F20"/>
          <w:spacing w:val="36"/>
        </w:rPr>
        <w:t> </w:t>
      </w:r>
      <w:r>
        <w:rPr>
          <w:color w:val="231F20"/>
        </w:rPr>
        <w:t>eksploatacyjnych </w:t>
      </w:r>
      <w:r>
        <w:rPr>
          <w:color w:val="231F20"/>
          <w:spacing w:val="-4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przeznaczonych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konserwację.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Mogą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one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stanowić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podstawę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zmniejszenia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kosztów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eksploatacji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przez </w:t>
      </w:r>
      <w:r>
        <w:rPr>
          <w:color w:val="231F20"/>
        </w:rPr>
        <w:t>ograniczenie</w:t>
      </w:r>
      <w:r>
        <w:rPr>
          <w:color w:val="231F20"/>
          <w:spacing w:val="-9"/>
        </w:rPr>
        <w:t> </w:t>
      </w:r>
      <w:r>
        <w:rPr>
          <w:color w:val="231F20"/>
        </w:rPr>
        <w:t>powierzchni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kubatur</w:t>
      </w:r>
      <w:r>
        <w:rPr>
          <w:color w:val="231F20"/>
          <w:spacing w:val="-10"/>
        </w:rPr>
        <w:t> </w:t>
      </w:r>
      <w:r>
        <w:rPr>
          <w:color w:val="231F20"/>
        </w:rPr>
        <w:t>oraz</w:t>
      </w:r>
      <w:r>
        <w:rPr>
          <w:color w:val="231F20"/>
          <w:spacing w:val="-10"/>
        </w:rPr>
        <w:t> </w:t>
      </w:r>
      <w:r>
        <w:rPr>
          <w:color w:val="231F20"/>
        </w:rPr>
        <w:t>nakładów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poszczególne</w:t>
      </w:r>
      <w:r>
        <w:rPr>
          <w:color w:val="231F20"/>
          <w:spacing w:val="-10"/>
        </w:rPr>
        <w:t> </w:t>
      </w:r>
      <w:r>
        <w:rPr>
          <w:color w:val="231F20"/>
        </w:rPr>
        <w:t>materiały.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przykład</w:t>
      </w:r>
      <w:r>
        <w:rPr>
          <w:color w:val="231F20"/>
          <w:spacing w:val="-10"/>
        </w:rPr>
        <w:t> </w:t>
      </w:r>
      <w:r>
        <w:rPr>
          <w:color w:val="231F20"/>
        </w:rPr>
        <w:t>mała</w:t>
      </w:r>
      <w:r>
        <w:rPr>
          <w:color w:val="231F20"/>
          <w:spacing w:val="-10"/>
        </w:rPr>
        <w:t> </w:t>
      </w:r>
      <w:r>
        <w:rPr>
          <w:color w:val="231F20"/>
        </w:rPr>
        <w:t>powierzchnia </w:t>
      </w:r>
      <w:r>
        <w:rPr>
          <w:color w:val="231F20"/>
          <w:w w:val="90"/>
        </w:rPr>
        <w:t>ścian zewnętrznych w stosunku do powierzchni użytkowej może wskazywać nie tylko na względne zmniejszenie </w:t>
      </w:r>
      <w:r>
        <w:rPr>
          <w:color w:val="231F20"/>
        </w:rPr>
        <w:t>kosztów energii, lecz także na odpowiednio mniejsze koszty czyszczenia i konserwacji elewacji.</w:t>
      </w:r>
    </w:p>
    <w:p>
      <w:pPr>
        <w:spacing w:line="254" w:lineRule="auto" w:before="173"/>
        <w:ind w:left="142" w:right="712" w:firstLine="0"/>
        <w:jc w:val="both"/>
        <w:rPr>
          <w:sz w:val="18"/>
        </w:rPr>
      </w:pPr>
      <w:r>
        <w:rPr>
          <w:color w:val="231F20"/>
          <w:sz w:val="18"/>
        </w:rPr>
        <w:t>UWAGA</w:t>
      </w:r>
      <w:r>
        <w:rPr>
          <w:color w:val="231F20"/>
          <w:spacing w:val="80"/>
          <w:sz w:val="18"/>
        </w:rPr>
        <w:t> </w:t>
      </w:r>
      <w:r>
        <w:rPr>
          <w:color w:val="231F20"/>
          <w:sz w:val="18"/>
        </w:rPr>
        <w:t>W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Załączniku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podano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przykłady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stosowania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wskaźników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charakteryzujących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powierzchnie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nieużyteczne w nowych budynkach.</w:t>
      </w:r>
    </w:p>
    <w:p>
      <w:pPr>
        <w:spacing w:after="0" w:line="254" w:lineRule="auto"/>
        <w:jc w:val="both"/>
        <w:rPr>
          <w:sz w:val="18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Heading1"/>
        <w:spacing w:line="254" w:lineRule="auto" w:before="212"/>
      </w:pPr>
      <w:bookmarkStart w:name="1 Zakres normy" w:id="9"/>
      <w:bookmarkEnd w:id="9"/>
      <w:r>
        <w:rPr>
          <w:b w:val="0"/>
        </w:rPr>
      </w:r>
      <w:bookmarkStart w:name="2 Powołania normatywne" w:id="10"/>
      <w:bookmarkEnd w:id="10"/>
      <w:r>
        <w:rPr>
          <w:b w:val="0"/>
        </w:rPr>
      </w:r>
      <w:bookmarkStart w:name="_bookmark2" w:id="11"/>
      <w:bookmarkEnd w:id="11"/>
      <w:r>
        <w:rPr>
          <w:b w:val="0"/>
        </w:rPr>
      </w:r>
      <w:r>
        <w:rPr>
          <w:color w:val="231F20"/>
        </w:rPr>
        <w:t>Właściwości</w:t>
      </w:r>
      <w:r>
        <w:rPr>
          <w:color w:val="231F20"/>
          <w:spacing w:val="-5"/>
        </w:rPr>
        <w:t> </w:t>
      </w:r>
      <w:r>
        <w:rPr>
          <w:color w:val="231F20"/>
        </w:rPr>
        <w:t>użytkowe</w:t>
      </w:r>
      <w:r>
        <w:rPr>
          <w:color w:val="231F20"/>
          <w:spacing w:val="-5"/>
        </w:rPr>
        <w:t> </w:t>
      </w:r>
      <w:r>
        <w:rPr>
          <w:color w:val="231F20"/>
        </w:rPr>
        <w:t>w</w:t>
      </w:r>
      <w:r>
        <w:rPr>
          <w:color w:val="231F20"/>
          <w:spacing w:val="-5"/>
        </w:rPr>
        <w:t> </w:t>
      </w:r>
      <w:r>
        <w:rPr>
          <w:color w:val="231F20"/>
        </w:rPr>
        <w:t>budownictwie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Określanie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obliczanie wskaźników powierzchniowych i kubaturowych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29"/>
        <w:rPr>
          <w:rFonts w:ascii="Arial"/>
          <w:b/>
          <w:sz w:val="28"/>
        </w:rPr>
      </w:pPr>
    </w:p>
    <w:p>
      <w:pPr>
        <w:pStyle w:val="Heading2"/>
        <w:numPr>
          <w:ilvl w:val="0"/>
          <w:numId w:val="3"/>
        </w:numPr>
        <w:tabs>
          <w:tab w:pos="1106" w:val="left" w:leader="none"/>
        </w:tabs>
        <w:spacing w:line="240" w:lineRule="auto" w:before="0" w:after="0"/>
        <w:ind w:left="1106" w:right="0" w:hanging="397"/>
        <w:jc w:val="left"/>
      </w:pPr>
      <w:r>
        <w:rPr>
          <w:color w:val="231F20"/>
        </w:rPr>
        <w:t>Zakres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normy</w:t>
      </w:r>
    </w:p>
    <w:p>
      <w:pPr>
        <w:pStyle w:val="BodyText"/>
        <w:spacing w:line="249" w:lineRule="auto" w:before="257"/>
        <w:ind w:left="709" w:right="140"/>
        <w:jc w:val="both"/>
      </w:pPr>
      <w:r>
        <w:rPr>
          <w:color w:val="231F20"/>
        </w:rPr>
        <w:t>Niniejszy</w:t>
      </w:r>
      <w:r>
        <w:rPr>
          <w:color w:val="231F20"/>
          <w:spacing w:val="-14"/>
        </w:rPr>
        <w:t> </w:t>
      </w:r>
      <w:r>
        <w:rPr>
          <w:color w:val="231F20"/>
        </w:rPr>
        <w:t>dokument</w:t>
      </w:r>
      <w:r>
        <w:rPr>
          <w:color w:val="231F20"/>
          <w:spacing w:val="-14"/>
        </w:rPr>
        <w:t> </w:t>
      </w:r>
      <w:r>
        <w:rPr>
          <w:color w:val="231F20"/>
        </w:rPr>
        <w:t>ustala</w:t>
      </w:r>
      <w:r>
        <w:rPr>
          <w:color w:val="231F20"/>
          <w:spacing w:val="-14"/>
        </w:rPr>
        <w:t> </w:t>
      </w:r>
      <w:r>
        <w:rPr>
          <w:color w:val="231F20"/>
        </w:rPr>
        <w:t>zasady</w:t>
      </w:r>
      <w:r>
        <w:rPr>
          <w:color w:val="231F20"/>
          <w:spacing w:val="-14"/>
        </w:rPr>
        <w:t> </w:t>
      </w:r>
      <w:r>
        <w:rPr>
          <w:color w:val="231F20"/>
        </w:rPr>
        <w:t>obliczania</w:t>
      </w:r>
      <w:r>
        <w:rPr>
          <w:color w:val="231F20"/>
          <w:spacing w:val="-14"/>
        </w:rPr>
        <w:t> </w:t>
      </w:r>
      <w:r>
        <w:rPr>
          <w:color w:val="231F20"/>
        </w:rPr>
        <w:t>wskaźników</w:t>
      </w:r>
      <w:r>
        <w:rPr>
          <w:color w:val="231F20"/>
          <w:spacing w:val="-14"/>
        </w:rPr>
        <w:t> </w:t>
      </w:r>
      <w:r>
        <w:rPr>
          <w:color w:val="231F20"/>
        </w:rPr>
        <w:t>powierzchniowych</w:t>
      </w:r>
      <w:r>
        <w:rPr>
          <w:color w:val="231F20"/>
          <w:spacing w:val="-14"/>
        </w:rPr>
        <w:t> </w:t>
      </w:r>
      <w:r>
        <w:rPr>
          <w:color w:val="231F20"/>
        </w:rPr>
        <w:t>i</w:t>
      </w:r>
      <w:r>
        <w:rPr>
          <w:color w:val="231F20"/>
          <w:spacing w:val="-14"/>
        </w:rPr>
        <w:t> </w:t>
      </w:r>
      <w:r>
        <w:rPr>
          <w:color w:val="231F20"/>
        </w:rPr>
        <w:t>kubaturowych</w:t>
      </w:r>
      <w:r>
        <w:rPr>
          <w:color w:val="231F20"/>
          <w:spacing w:val="-14"/>
        </w:rPr>
        <w:t> </w:t>
      </w:r>
      <w:r>
        <w:rPr>
          <w:color w:val="231F20"/>
        </w:rPr>
        <w:t>oraz</w:t>
      </w:r>
      <w:r>
        <w:rPr>
          <w:color w:val="231F20"/>
          <w:spacing w:val="-13"/>
        </w:rPr>
        <w:t> </w:t>
      </w:r>
      <w:r>
        <w:rPr>
          <w:color w:val="231F20"/>
        </w:rPr>
        <w:t>wprowadza związane z nimi terminy.</w:t>
      </w:r>
    </w:p>
    <w:p>
      <w:pPr>
        <w:pStyle w:val="BodyText"/>
        <w:spacing w:before="26"/>
      </w:pPr>
    </w:p>
    <w:p>
      <w:pPr>
        <w:pStyle w:val="BodyText"/>
        <w:spacing w:before="1"/>
        <w:ind w:left="709"/>
      </w:pPr>
      <w:r>
        <w:rPr>
          <w:color w:val="231F20"/>
        </w:rPr>
        <w:t>Przy</w:t>
      </w:r>
      <w:r>
        <w:rPr>
          <w:color w:val="231F20"/>
          <w:spacing w:val="-13"/>
        </w:rPr>
        <w:t> </w:t>
      </w:r>
      <w:r>
        <w:rPr>
          <w:color w:val="231F20"/>
        </w:rPr>
        <w:t>ustalaniu</w:t>
      </w:r>
      <w:r>
        <w:rPr>
          <w:color w:val="231F20"/>
          <w:spacing w:val="-13"/>
        </w:rPr>
        <w:t> </w:t>
      </w:r>
      <w:r>
        <w:rPr>
          <w:color w:val="231F20"/>
        </w:rPr>
        <w:t>zasad</w:t>
      </w:r>
      <w:r>
        <w:rPr>
          <w:color w:val="231F20"/>
          <w:spacing w:val="-13"/>
        </w:rPr>
        <w:t> </w:t>
      </w:r>
      <w:r>
        <w:rPr>
          <w:color w:val="231F20"/>
        </w:rPr>
        <w:t>przeprowadzania</w:t>
      </w:r>
      <w:r>
        <w:rPr>
          <w:color w:val="231F20"/>
          <w:spacing w:val="-13"/>
        </w:rPr>
        <w:t> </w:t>
      </w:r>
      <w:r>
        <w:rPr>
          <w:color w:val="231F20"/>
        </w:rPr>
        <w:t>pomiarów</w:t>
      </w:r>
      <w:r>
        <w:rPr>
          <w:color w:val="231F20"/>
          <w:spacing w:val="-13"/>
        </w:rPr>
        <w:t> </w:t>
      </w:r>
      <w:r>
        <w:rPr>
          <w:color w:val="231F20"/>
        </w:rPr>
        <w:t>w</w:t>
      </w:r>
      <w:r>
        <w:rPr>
          <w:color w:val="231F20"/>
          <w:spacing w:val="-12"/>
        </w:rPr>
        <w:t> </w:t>
      </w:r>
      <w:r>
        <w:rPr>
          <w:color w:val="231F20"/>
        </w:rPr>
        <w:t>niniejszym</w:t>
      </w:r>
      <w:r>
        <w:rPr>
          <w:color w:val="231F20"/>
          <w:spacing w:val="-13"/>
        </w:rPr>
        <w:t> </w:t>
      </w:r>
      <w:r>
        <w:rPr>
          <w:color w:val="231F20"/>
        </w:rPr>
        <w:t>dokumencie</w:t>
      </w:r>
      <w:r>
        <w:rPr>
          <w:color w:val="231F20"/>
          <w:spacing w:val="-13"/>
        </w:rPr>
        <w:t> </w:t>
      </w:r>
      <w:r>
        <w:rPr>
          <w:color w:val="231F20"/>
        </w:rPr>
        <w:t>stosowane</w:t>
      </w:r>
      <w:r>
        <w:rPr>
          <w:color w:val="231F20"/>
          <w:spacing w:val="-13"/>
        </w:rPr>
        <w:t> </w:t>
      </w:r>
      <w:r>
        <w:rPr>
          <w:color w:val="231F20"/>
        </w:rPr>
        <w:t>są</w:t>
      </w:r>
      <w:r>
        <w:rPr>
          <w:color w:val="231F20"/>
          <w:spacing w:val="-13"/>
        </w:rPr>
        <w:t> </w:t>
      </w:r>
      <w:r>
        <w:rPr>
          <w:color w:val="231F20"/>
        </w:rPr>
        <w:t>trzy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podejścia:</w:t>
      </w:r>
    </w:p>
    <w:p>
      <w:pPr>
        <w:pStyle w:val="ListParagraph"/>
        <w:numPr>
          <w:ilvl w:val="0"/>
          <w:numId w:val="4"/>
        </w:numPr>
        <w:tabs>
          <w:tab w:pos="1047" w:val="left" w:leader="none"/>
          <w:tab w:pos="1049" w:val="left" w:leader="none"/>
        </w:tabs>
        <w:spacing w:line="249" w:lineRule="auto" w:before="180" w:after="0"/>
        <w:ind w:left="1049" w:right="140" w:hanging="341"/>
        <w:jc w:val="left"/>
        <w:rPr>
          <w:sz w:val="20"/>
        </w:rPr>
      </w:pPr>
      <w:r>
        <w:rPr>
          <w:color w:val="231F20"/>
          <w:spacing w:val="-4"/>
          <w:sz w:val="20"/>
        </w:rPr>
        <w:t>podejście polegające na pomiarach w licu przegród budowlanych (wewnętrznych i zewnętrznych), stoso- wane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wielu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częściach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świata;</w:t>
      </w:r>
    </w:p>
    <w:p>
      <w:pPr>
        <w:pStyle w:val="ListParagraph"/>
        <w:numPr>
          <w:ilvl w:val="0"/>
          <w:numId w:val="4"/>
        </w:numPr>
        <w:tabs>
          <w:tab w:pos="1048" w:val="left" w:leader="none"/>
        </w:tabs>
        <w:spacing w:line="240" w:lineRule="auto" w:before="171" w:after="0"/>
        <w:ind w:left="1048" w:right="0" w:hanging="339"/>
        <w:jc w:val="left"/>
        <w:rPr>
          <w:sz w:val="20"/>
        </w:rPr>
      </w:pPr>
      <w:r>
        <w:rPr>
          <w:color w:val="231F20"/>
          <w:spacing w:val="-8"/>
          <w:sz w:val="20"/>
        </w:rPr>
        <w:t>podejście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polegające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na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pomiarach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w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osiach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ścian,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stosowane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w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wielu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częściach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świata;</w:t>
      </w:r>
    </w:p>
    <w:p>
      <w:pPr>
        <w:pStyle w:val="ListParagraph"/>
        <w:numPr>
          <w:ilvl w:val="0"/>
          <w:numId w:val="4"/>
        </w:numPr>
        <w:tabs>
          <w:tab w:pos="1047" w:val="left" w:leader="none"/>
          <w:tab w:pos="1049" w:val="left" w:leader="none"/>
        </w:tabs>
        <w:spacing w:line="249" w:lineRule="auto" w:before="181" w:after="0"/>
        <w:ind w:left="1049" w:right="141" w:hanging="341"/>
        <w:jc w:val="left"/>
        <w:rPr>
          <w:sz w:val="20"/>
        </w:rPr>
      </w:pPr>
      <w:r>
        <w:rPr>
          <w:color w:val="231F20"/>
          <w:spacing w:val="-4"/>
          <w:sz w:val="20"/>
        </w:rPr>
        <w:t>kombinacje powyższych podejść w celu spełnienia wymagań przepisów krajowych lub określonych dla </w:t>
      </w:r>
      <w:r>
        <w:rPr>
          <w:color w:val="231F20"/>
          <w:sz w:val="20"/>
        </w:rPr>
        <w:t>poszczególnych typów budynków.</w:t>
      </w:r>
    </w:p>
    <w:p>
      <w:pPr>
        <w:pStyle w:val="BodyText"/>
        <w:spacing w:before="26"/>
      </w:pPr>
    </w:p>
    <w:p>
      <w:pPr>
        <w:pStyle w:val="BodyText"/>
        <w:spacing w:line="249" w:lineRule="auto"/>
        <w:ind w:left="709" w:right="140"/>
        <w:jc w:val="both"/>
      </w:pPr>
      <w:r>
        <w:rPr>
          <w:color w:val="231F20"/>
          <w:spacing w:val="-4"/>
        </w:rPr>
        <w:t>Wskaźniki powierzchniowe i kubaturowe określone w niniejszym dokumencie przeznaczone są do liczbowego </w:t>
      </w:r>
      <w:r>
        <w:rPr>
          <w:color w:val="231F20"/>
          <w:spacing w:val="-6"/>
        </w:rPr>
        <w:t>wyrażania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różnych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parametrów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związanych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z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funkcjonowaniem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budynków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i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mogą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być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także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wykorzystywane </w:t>
      </w:r>
      <w:r>
        <w:rPr>
          <w:color w:val="231F20"/>
          <w:spacing w:val="-8"/>
        </w:rPr>
        <w:t>jako</w:t>
      </w:r>
      <w:r>
        <w:rPr>
          <w:color w:val="231F20"/>
        </w:rPr>
        <w:t> </w:t>
      </w:r>
      <w:r>
        <w:rPr>
          <w:color w:val="231F20"/>
          <w:spacing w:val="-8"/>
        </w:rPr>
        <w:t>wielkości</w:t>
      </w:r>
      <w:r>
        <w:rPr>
          <w:color w:val="231F20"/>
        </w:rPr>
        <w:t> </w:t>
      </w:r>
      <w:r>
        <w:rPr>
          <w:color w:val="231F20"/>
          <w:spacing w:val="-8"/>
        </w:rPr>
        <w:t>pomocnicze</w:t>
      </w:r>
      <w:r>
        <w:rPr>
          <w:color w:val="231F20"/>
        </w:rPr>
        <w:t> </w:t>
      </w:r>
      <w:r>
        <w:rPr>
          <w:color w:val="231F20"/>
          <w:spacing w:val="-8"/>
        </w:rPr>
        <w:t>w</w:t>
      </w:r>
      <w:r>
        <w:rPr>
          <w:color w:val="231F20"/>
        </w:rPr>
        <w:t> </w:t>
      </w:r>
      <w:r>
        <w:rPr>
          <w:color w:val="231F20"/>
          <w:spacing w:val="-8"/>
        </w:rPr>
        <w:t>pracach</w:t>
      </w:r>
      <w:r>
        <w:rPr>
          <w:color w:val="231F20"/>
        </w:rPr>
        <w:t> </w:t>
      </w:r>
      <w:r>
        <w:rPr>
          <w:color w:val="231F20"/>
          <w:spacing w:val="-8"/>
        </w:rPr>
        <w:t>projektowych.</w:t>
      </w:r>
      <w:r>
        <w:rPr>
          <w:color w:val="231F20"/>
        </w:rPr>
        <w:t> </w:t>
      </w:r>
      <w:r>
        <w:rPr>
          <w:color w:val="231F20"/>
          <w:spacing w:val="-8"/>
        </w:rPr>
        <w:t>Innymi</w:t>
      </w:r>
      <w:r>
        <w:rPr>
          <w:color w:val="231F20"/>
        </w:rPr>
        <w:t> </w:t>
      </w:r>
      <w:r>
        <w:rPr>
          <w:color w:val="231F20"/>
          <w:spacing w:val="-8"/>
        </w:rPr>
        <w:t>słowy</w:t>
      </w:r>
      <w:r>
        <w:rPr>
          <w:color w:val="231F20"/>
        </w:rPr>
        <w:t> </w:t>
      </w:r>
      <w:r>
        <w:rPr>
          <w:color w:val="231F20"/>
          <w:spacing w:val="-8"/>
        </w:rPr>
        <w:t>mają</w:t>
      </w:r>
      <w:r>
        <w:rPr>
          <w:color w:val="231F20"/>
        </w:rPr>
        <w:t> </w:t>
      </w:r>
      <w:r>
        <w:rPr>
          <w:color w:val="231F20"/>
          <w:spacing w:val="-8"/>
        </w:rPr>
        <w:t>umożliwiać</w:t>
      </w:r>
      <w:r>
        <w:rPr>
          <w:color w:val="231F20"/>
        </w:rPr>
        <w:t> </w:t>
      </w:r>
      <w:r>
        <w:rPr>
          <w:color w:val="231F20"/>
          <w:spacing w:val="-8"/>
        </w:rPr>
        <w:t>ocenę</w:t>
      </w:r>
      <w:r>
        <w:rPr>
          <w:color w:val="231F20"/>
        </w:rPr>
        <w:t> </w:t>
      </w:r>
      <w:r>
        <w:rPr>
          <w:color w:val="231F20"/>
          <w:spacing w:val="-8"/>
        </w:rPr>
        <w:t>budynku</w:t>
      </w:r>
      <w:r>
        <w:rPr>
          <w:color w:val="231F20"/>
        </w:rPr>
        <w:t> </w:t>
      </w:r>
      <w:r>
        <w:rPr>
          <w:color w:val="231F20"/>
          <w:spacing w:val="-8"/>
        </w:rPr>
        <w:t>pod</w:t>
      </w:r>
      <w:r>
        <w:rPr>
          <w:color w:val="231F20"/>
        </w:rPr>
        <w:t> </w:t>
      </w:r>
      <w:r>
        <w:rPr>
          <w:color w:val="231F20"/>
          <w:spacing w:val="-8"/>
        </w:rPr>
        <w:t>wzglę- </w:t>
      </w:r>
      <w:r>
        <w:rPr>
          <w:color w:val="231F20"/>
        </w:rPr>
        <w:t>dem funkcjonalnym, technicznym i ekonomicznym.</w:t>
      </w:r>
    </w:p>
    <w:p>
      <w:pPr>
        <w:pStyle w:val="BodyText"/>
        <w:spacing w:before="29"/>
      </w:pPr>
    </w:p>
    <w:p>
      <w:pPr>
        <w:pStyle w:val="BodyText"/>
        <w:ind w:left="709"/>
      </w:pPr>
      <w:r>
        <w:rPr>
          <w:color w:val="231F20"/>
        </w:rPr>
        <w:t>Niniejszy</w:t>
      </w:r>
      <w:r>
        <w:rPr>
          <w:color w:val="231F20"/>
          <w:spacing w:val="-2"/>
        </w:rPr>
        <w:t> </w:t>
      </w:r>
      <w:r>
        <w:rPr>
          <w:color w:val="231F20"/>
        </w:rPr>
        <w:t>dokument</w:t>
      </w:r>
      <w:r>
        <w:rPr>
          <w:color w:val="231F20"/>
          <w:spacing w:val="-2"/>
        </w:rPr>
        <w:t> </w:t>
      </w:r>
      <w:r>
        <w:rPr>
          <w:color w:val="231F20"/>
        </w:rPr>
        <w:t>przeznaczony</w:t>
      </w:r>
      <w:r>
        <w:rPr>
          <w:color w:val="231F20"/>
          <w:spacing w:val="-1"/>
        </w:rPr>
        <w:t> </w:t>
      </w:r>
      <w:r>
        <w:rPr>
          <w:color w:val="231F20"/>
        </w:rPr>
        <w:t>jest</w:t>
      </w:r>
      <w:r>
        <w:rPr>
          <w:color w:val="231F20"/>
          <w:spacing w:val="-2"/>
        </w:rPr>
        <w:t> </w:t>
      </w:r>
      <w:r>
        <w:rPr>
          <w:color w:val="231F20"/>
        </w:rPr>
        <w:t>do</w:t>
      </w:r>
      <w:r>
        <w:rPr>
          <w:color w:val="231F20"/>
          <w:spacing w:val="-2"/>
        </w:rPr>
        <w:t> </w:t>
      </w:r>
      <w:r>
        <w:rPr>
          <w:color w:val="231F20"/>
        </w:rPr>
        <w:t>stosowania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przy:</w:t>
      </w:r>
    </w:p>
    <w:p>
      <w:pPr>
        <w:pStyle w:val="ListParagraph"/>
        <w:numPr>
          <w:ilvl w:val="0"/>
          <w:numId w:val="2"/>
        </w:numPr>
        <w:tabs>
          <w:tab w:pos="1047" w:val="left" w:leader="none"/>
          <w:tab w:pos="1049" w:val="left" w:leader="none"/>
        </w:tabs>
        <w:spacing w:line="249" w:lineRule="auto" w:before="180" w:after="0"/>
        <w:ind w:left="1049" w:right="140" w:hanging="341"/>
        <w:jc w:val="both"/>
        <w:rPr>
          <w:sz w:val="20"/>
        </w:rPr>
      </w:pPr>
      <w:r>
        <w:rPr>
          <w:color w:val="231F20"/>
          <w:sz w:val="20"/>
        </w:rPr>
        <w:t>opracowywaniu wymagań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technicznych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dotyczących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przestrzennego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kształtowania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budynku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 jego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oto- </w:t>
      </w:r>
      <w:r>
        <w:rPr>
          <w:color w:val="231F20"/>
          <w:spacing w:val="-2"/>
          <w:sz w:val="20"/>
        </w:rPr>
        <w:t>czenia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(np.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podczas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projektowania,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czynności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związanych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z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zakupem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itp.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lub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w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odpowiednich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przepisach budowlanych),</w:t>
      </w:r>
    </w:p>
    <w:p>
      <w:pPr>
        <w:pStyle w:val="ListParagraph"/>
        <w:numPr>
          <w:ilvl w:val="0"/>
          <w:numId w:val="2"/>
        </w:numPr>
        <w:tabs>
          <w:tab w:pos="1047" w:val="left" w:leader="none"/>
          <w:tab w:pos="1049" w:val="left" w:leader="none"/>
        </w:tabs>
        <w:spacing w:line="249" w:lineRule="auto" w:before="172" w:after="0"/>
        <w:ind w:left="1049" w:right="139" w:hanging="341"/>
        <w:jc w:val="both"/>
        <w:rPr>
          <w:sz w:val="20"/>
        </w:rPr>
      </w:pPr>
      <w:r>
        <w:rPr>
          <w:color w:val="231F20"/>
          <w:spacing w:val="-2"/>
          <w:sz w:val="20"/>
        </w:rPr>
        <w:t>sporządzaniu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dokumentacji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technicznej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związanej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z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projektowaniem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wznoszeniem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budynku,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przygotowy- </w:t>
      </w:r>
      <w:r>
        <w:rPr>
          <w:color w:val="231F20"/>
          <w:sz w:val="20"/>
        </w:rPr>
        <w:t>wanej przez projektantów, wykonawców i producentów,</w:t>
      </w:r>
    </w:p>
    <w:p>
      <w:pPr>
        <w:pStyle w:val="ListParagraph"/>
        <w:numPr>
          <w:ilvl w:val="0"/>
          <w:numId w:val="2"/>
        </w:numPr>
        <w:tabs>
          <w:tab w:pos="1047" w:val="left" w:leader="none"/>
          <w:tab w:pos="1049" w:val="left" w:leader="none"/>
        </w:tabs>
        <w:spacing w:line="249" w:lineRule="auto" w:before="172" w:after="0"/>
        <w:ind w:left="1049" w:right="145" w:hanging="341"/>
        <w:jc w:val="both"/>
        <w:rPr>
          <w:sz w:val="20"/>
        </w:rPr>
      </w:pPr>
      <w:r>
        <w:rPr>
          <w:color w:val="231F20"/>
          <w:spacing w:val="-6"/>
          <w:sz w:val="20"/>
        </w:rPr>
        <w:t>obliczaniu powierzchni, która będzie nieużyteczna ze względów funkcjonalnych na potrzeby indywidualnych </w:t>
      </w:r>
      <w:r>
        <w:rPr>
          <w:color w:val="231F20"/>
          <w:sz w:val="20"/>
        </w:rPr>
        <w:t>miejsc pracy, umeblowania, wyposażenia lub jako powierzchnia ruchu, oraz</w:t>
      </w:r>
    </w:p>
    <w:p>
      <w:pPr>
        <w:pStyle w:val="ListParagraph"/>
        <w:numPr>
          <w:ilvl w:val="0"/>
          <w:numId w:val="2"/>
        </w:numPr>
        <w:tabs>
          <w:tab w:pos="1049" w:val="left" w:leader="none"/>
        </w:tabs>
        <w:spacing w:line="240" w:lineRule="auto" w:before="172" w:after="0"/>
        <w:ind w:left="1049" w:right="0" w:hanging="340"/>
        <w:jc w:val="left"/>
        <w:rPr>
          <w:sz w:val="20"/>
        </w:rPr>
      </w:pPr>
      <w:r>
        <w:rPr>
          <w:color w:val="231F20"/>
          <w:spacing w:val="-6"/>
          <w:sz w:val="20"/>
        </w:rPr>
        <w:t>ocenie,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porównywaniu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lub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kontroli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właściwości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budynku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związanych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z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jego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przestrzennym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ukształtowaniem.</w:t>
      </w:r>
    </w:p>
    <w:p>
      <w:pPr>
        <w:spacing w:line="254" w:lineRule="auto" w:before="179"/>
        <w:ind w:left="709" w:right="140" w:firstLine="0"/>
        <w:jc w:val="both"/>
        <w:rPr>
          <w:sz w:val="18"/>
        </w:rPr>
      </w:pPr>
      <w:r>
        <w:rPr>
          <w:color w:val="231F20"/>
          <w:sz w:val="18"/>
        </w:rPr>
        <w:t>UWAGA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Pomimo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tego,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stwierdzono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powyżej,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świecie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istnieje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wiele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różnych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metod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pomiaru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powierzchni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w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zależ- </w:t>
      </w:r>
      <w:r>
        <w:rPr>
          <w:color w:val="231F20"/>
          <w:spacing w:val="-4"/>
          <w:sz w:val="18"/>
        </w:rPr>
        <w:t>ności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od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kraju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i/lub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typów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budynków;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nie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wszystkie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z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nich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są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stosowane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w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praktyce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z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uwagi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na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brak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możliwości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określenia </w:t>
      </w:r>
      <w:r>
        <w:rPr>
          <w:color w:val="231F20"/>
          <w:sz w:val="18"/>
        </w:rPr>
        <w:t>rzeczywistej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powierzchni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(np.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metoda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mierzenia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powierzchni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osiach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ścian).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Dlatego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niniejszym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dokumencie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opisano </w:t>
      </w:r>
      <w:r>
        <w:rPr>
          <w:color w:val="231F20"/>
          <w:spacing w:val="-4"/>
          <w:sz w:val="18"/>
        </w:rPr>
        <w:t>metodę mającą wyłącznie zastosowanie praktyczne.</w:t>
      </w:r>
    </w:p>
    <w:p>
      <w:pPr>
        <w:pStyle w:val="BodyText"/>
        <w:rPr>
          <w:sz w:val="18"/>
        </w:rPr>
      </w:pPr>
    </w:p>
    <w:p>
      <w:pPr>
        <w:pStyle w:val="BodyText"/>
        <w:spacing w:before="102"/>
        <w:rPr>
          <w:sz w:val="18"/>
        </w:rPr>
      </w:pPr>
    </w:p>
    <w:p>
      <w:pPr>
        <w:pStyle w:val="Heading2"/>
        <w:numPr>
          <w:ilvl w:val="0"/>
          <w:numId w:val="3"/>
        </w:numPr>
        <w:tabs>
          <w:tab w:pos="1106" w:val="left" w:leader="none"/>
        </w:tabs>
        <w:spacing w:line="240" w:lineRule="auto" w:before="0" w:after="0"/>
        <w:ind w:left="1106" w:right="0" w:hanging="397"/>
        <w:jc w:val="left"/>
      </w:pPr>
      <w:r>
        <w:rPr>
          <w:color w:val="231F20"/>
        </w:rPr>
        <w:t>Powołania</w:t>
      </w:r>
      <w:r>
        <w:rPr>
          <w:color w:val="231F20"/>
          <w:spacing w:val="-2"/>
        </w:rPr>
        <w:t> normatywne</w:t>
      </w:r>
    </w:p>
    <w:p>
      <w:pPr>
        <w:pStyle w:val="BodyText"/>
        <w:spacing w:line="249" w:lineRule="auto" w:before="257"/>
        <w:ind w:left="709" w:right="139"/>
        <w:jc w:val="both"/>
      </w:pPr>
      <w:r>
        <w:rPr>
          <w:color w:val="231F20"/>
          <w:spacing w:val="-4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stosowania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niniejszego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dokumentu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niezbędne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podane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niżej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dokumenty,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które,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całości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lub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części, zostały w nim normatywnie powołane. W przypadku powołań datowanych ma zastosowanie wyłącznie wydanie cytowane.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przypadku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powołań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niedatowanych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stosuje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się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ostatnie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wydanie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dokumentu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powołanego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(łącznie </w:t>
      </w:r>
      <w:r>
        <w:rPr>
          <w:color w:val="231F20"/>
        </w:rPr>
        <w:t>ze zmianami).</w:t>
      </w:r>
    </w:p>
    <w:p>
      <w:pPr>
        <w:pStyle w:val="BodyText"/>
        <w:spacing w:before="28"/>
      </w:pPr>
    </w:p>
    <w:p>
      <w:pPr>
        <w:spacing w:before="0"/>
        <w:ind w:left="709" w:right="0" w:firstLine="0"/>
        <w:jc w:val="both"/>
        <w:rPr>
          <w:rFonts w:ascii="Arial" w:hAnsi="Arial"/>
          <w:i/>
          <w:sz w:val="20"/>
        </w:rPr>
      </w:pPr>
      <w:r>
        <w:rPr>
          <w:color w:val="231F20"/>
          <w:sz w:val="20"/>
        </w:rPr>
        <w:t>ISO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6707-1,</w:t>
      </w:r>
      <w:r>
        <w:rPr>
          <w:color w:val="231F20"/>
          <w:spacing w:val="-4"/>
          <w:sz w:val="20"/>
        </w:rPr>
        <w:t> </w:t>
      </w:r>
      <w:r>
        <w:rPr>
          <w:rFonts w:ascii="Arial" w:hAnsi="Arial"/>
          <w:i/>
          <w:color w:val="231F20"/>
          <w:sz w:val="20"/>
        </w:rPr>
        <w:t>Building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and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civil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engineering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–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Vocabulary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–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Part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1: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z w:val="20"/>
        </w:rPr>
        <w:t>General</w:t>
      </w:r>
      <w:r>
        <w:rPr>
          <w:rFonts w:ascii="Arial" w:hAnsi="Arial"/>
          <w:i/>
          <w:color w:val="231F20"/>
          <w:spacing w:val="-3"/>
          <w:sz w:val="20"/>
        </w:rPr>
        <w:t> </w:t>
      </w:r>
      <w:r>
        <w:rPr>
          <w:rFonts w:ascii="Arial" w:hAnsi="Arial"/>
          <w:i/>
          <w:color w:val="231F20"/>
          <w:spacing w:val="-2"/>
          <w:sz w:val="20"/>
        </w:rPr>
        <w:t>terms</w:t>
      </w:r>
    </w:p>
    <w:p>
      <w:pPr>
        <w:spacing w:after="0"/>
        <w:jc w:val="both"/>
        <w:rPr>
          <w:rFonts w:ascii="Arial" w:hAnsi="Arial"/>
          <w:i/>
          <w:sz w:val="20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Heading2"/>
        <w:numPr>
          <w:ilvl w:val="0"/>
          <w:numId w:val="3"/>
        </w:numPr>
        <w:tabs>
          <w:tab w:pos="539" w:val="left" w:leader="none"/>
        </w:tabs>
        <w:spacing w:line="240" w:lineRule="auto" w:before="220" w:after="0"/>
        <w:ind w:left="539" w:right="0" w:hanging="397"/>
        <w:jc w:val="left"/>
      </w:pPr>
      <w:bookmarkStart w:name="3 Terminy i definicje" w:id="12"/>
      <w:bookmarkEnd w:id="12"/>
      <w:r>
        <w:rPr>
          <w:b w:val="0"/>
        </w:rPr>
      </w:r>
      <w:bookmarkStart w:name="_bookmark3" w:id="13"/>
      <w:bookmarkEnd w:id="13"/>
      <w:r>
        <w:rPr>
          <w:b w:val="0"/>
        </w:rPr>
      </w:r>
      <w:r>
        <w:rPr>
          <w:color w:val="231F20"/>
        </w:rPr>
        <w:t>Terminy</w:t>
      </w:r>
      <w:r>
        <w:rPr>
          <w:color w:val="231F20"/>
          <w:spacing w:val="-12"/>
        </w:rPr>
        <w:t> </w:t>
      </w:r>
      <w:r>
        <w:rPr>
          <w:color w:val="231F20"/>
        </w:rPr>
        <w:t>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definicje</w:t>
      </w:r>
    </w:p>
    <w:p>
      <w:pPr>
        <w:pStyle w:val="BodyText"/>
        <w:spacing w:line="466" w:lineRule="exact" w:before="43"/>
        <w:ind w:left="142" w:right="702"/>
      </w:pPr>
      <w:r>
        <w:rPr>
          <w:color w:val="231F20"/>
        </w:rPr>
        <w:t>Dla</w:t>
      </w:r>
      <w:r>
        <w:rPr>
          <w:color w:val="231F20"/>
          <w:spacing w:val="-14"/>
        </w:rPr>
        <w:t> </w:t>
      </w:r>
      <w:r>
        <w:rPr>
          <w:color w:val="231F20"/>
        </w:rPr>
        <w:t>celów</w:t>
      </w:r>
      <w:r>
        <w:rPr>
          <w:color w:val="231F20"/>
          <w:spacing w:val="-14"/>
        </w:rPr>
        <w:t> </w:t>
      </w:r>
      <w:r>
        <w:rPr>
          <w:color w:val="231F20"/>
        </w:rPr>
        <w:t>niniejszego</w:t>
      </w:r>
      <w:r>
        <w:rPr>
          <w:color w:val="231F20"/>
          <w:spacing w:val="-14"/>
        </w:rPr>
        <w:t> </w:t>
      </w:r>
      <w:r>
        <w:rPr>
          <w:color w:val="231F20"/>
        </w:rPr>
        <w:t>dokumentu</w:t>
      </w:r>
      <w:r>
        <w:rPr>
          <w:color w:val="231F20"/>
          <w:spacing w:val="-14"/>
        </w:rPr>
        <w:t> </w:t>
      </w:r>
      <w:r>
        <w:rPr>
          <w:color w:val="231F20"/>
        </w:rPr>
        <w:t>stosuje</w:t>
      </w:r>
      <w:r>
        <w:rPr>
          <w:color w:val="231F20"/>
          <w:spacing w:val="-14"/>
        </w:rPr>
        <w:t> </w:t>
      </w:r>
      <w:r>
        <w:rPr>
          <w:color w:val="231F20"/>
        </w:rPr>
        <w:t>się</w:t>
      </w:r>
      <w:r>
        <w:rPr>
          <w:color w:val="231F20"/>
          <w:spacing w:val="-14"/>
        </w:rPr>
        <w:t> </w:t>
      </w:r>
      <w:r>
        <w:rPr>
          <w:color w:val="231F20"/>
        </w:rPr>
        <w:t>terminy</w:t>
      </w:r>
      <w:r>
        <w:rPr>
          <w:color w:val="231F20"/>
          <w:spacing w:val="-14"/>
        </w:rPr>
        <w:t> </w:t>
      </w:r>
      <w:r>
        <w:rPr>
          <w:color w:val="231F20"/>
        </w:rPr>
        <w:t>i</w:t>
      </w:r>
      <w:r>
        <w:rPr>
          <w:color w:val="231F20"/>
          <w:spacing w:val="-14"/>
        </w:rPr>
        <w:t> </w:t>
      </w:r>
      <w:r>
        <w:rPr>
          <w:color w:val="231F20"/>
        </w:rPr>
        <w:t>definicje</w:t>
      </w:r>
      <w:r>
        <w:rPr>
          <w:color w:val="231F20"/>
          <w:spacing w:val="-14"/>
        </w:rPr>
        <w:t> </w:t>
      </w:r>
      <w:r>
        <w:rPr>
          <w:color w:val="231F20"/>
        </w:rPr>
        <w:t>podane</w:t>
      </w:r>
      <w:r>
        <w:rPr>
          <w:color w:val="231F20"/>
          <w:spacing w:val="-13"/>
        </w:rPr>
        <w:t> </w:t>
      </w:r>
      <w:r>
        <w:rPr>
          <w:color w:val="231F20"/>
        </w:rPr>
        <w:t>w</w:t>
      </w:r>
      <w:r>
        <w:rPr>
          <w:color w:val="231F20"/>
          <w:spacing w:val="-14"/>
        </w:rPr>
        <w:t> </w:t>
      </w:r>
      <w:r>
        <w:rPr>
          <w:color w:val="231F20"/>
        </w:rPr>
        <w:t>ISO</w:t>
      </w:r>
      <w:r>
        <w:rPr>
          <w:color w:val="231F20"/>
          <w:spacing w:val="-14"/>
        </w:rPr>
        <w:t> </w:t>
      </w:r>
      <w:r>
        <w:rPr>
          <w:color w:val="231F20"/>
        </w:rPr>
        <w:t>6707-1</w:t>
      </w:r>
      <w:r>
        <w:rPr>
          <w:color w:val="231F20"/>
          <w:spacing w:val="-14"/>
        </w:rPr>
        <w:t> </w:t>
      </w:r>
      <w:r>
        <w:rPr>
          <w:color w:val="231F20"/>
        </w:rPr>
        <w:t>oraz</w:t>
      </w:r>
      <w:r>
        <w:rPr>
          <w:color w:val="231F20"/>
          <w:spacing w:val="-14"/>
        </w:rPr>
        <w:t> </w:t>
      </w:r>
      <w:r>
        <w:rPr>
          <w:color w:val="231F20"/>
        </w:rPr>
        <w:t>wymienione</w:t>
      </w:r>
      <w:r>
        <w:rPr>
          <w:color w:val="231F20"/>
          <w:spacing w:val="-14"/>
        </w:rPr>
        <w:t> </w:t>
      </w:r>
      <w:r>
        <w:rPr>
          <w:color w:val="231F20"/>
        </w:rPr>
        <w:t>niżej. </w:t>
      </w:r>
      <w:r>
        <w:rPr>
          <w:color w:val="231F20"/>
          <w:w w:val="95"/>
        </w:rPr>
        <w:t>ISO</w:t>
      </w:r>
      <w:r>
        <w:rPr>
          <w:color w:val="231F20"/>
          <w:spacing w:val="7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7"/>
        </w:rPr>
        <w:t> </w:t>
      </w:r>
      <w:r>
        <w:rPr>
          <w:color w:val="231F20"/>
          <w:w w:val="95"/>
        </w:rPr>
        <w:t>IEC</w:t>
      </w:r>
      <w:r>
        <w:rPr>
          <w:color w:val="231F20"/>
          <w:spacing w:val="7"/>
        </w:rPr>
        <w:t> </w:t>
      </w:r>
      <w:r>
        <w:rPr>
          <w:color w:val="231F20"/>
          <w:w w:val="95"/>
        </w:rPr>
        <w:t>prowadzą</w:t>
      </w:r>
      <w:r>
        <w:rPr>
          <w:color w:val="231F20"/>
          <w:spacing w:val="8"/>
        </w:rPr>
        <w:t> </w:t>
      </w:r>
      <w:r>
        <w:rPr>
          <w:color w:val="231F20"/>
          <w:w w:val="95"/>
        </w:rPr>
        <w:t>terminologiczne</w:t>
      </w:r>
      <w:r>
        <w:rPr>
          <w:color w:val="231F20"/>
          <w:spacing w:val="8"/>
        </w:rPr>
        <w:t> </w:t>
      </w:r>
      <w:r>
        <w:rPr>
          <w:color w:val="231F20"/>
          <w:w w:val="95"/>
        </w:rPr>
        <w:t>bazy</w:t>
      </w:r>
      <w:r>
        <w:rPr>
          <w:color w:val="231F20"/>
          <w:spacing w:val="7"/>
        </w:rPr>
        <w:t> </w:t>
      </w:r>
      <w:r>
        <w:rPr>
          <w:color w:val="231F20"/>
          <w:w w:val="95"/>
        </w:rPr>
        <w:t>danych</w:t>
      </w:r>
      <w:r>
        <w:rPr>
          <w:color w:val="231F20"/>
          <w:spacing w:val="8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7"/>
        </w:rPr>
        <w:t> </w:t>
      </w:r>
      <w:r>
        <w:rPr>
          <w:color w:val="231F20"/>
          <w:w w:val="95"/>
        </w:rPr>
        <w:t>stosowania</w:t>
      </w:r>
      <w:r>
        <w:rPr>
          <w:color w:val="231F20"/>
          <w:spacing w:val="7"/>
        </w:rPr>
        <w:t> </w:t>
      </w:r>
      <w:r>
        <w:rPr>
          <w:color w:val="231F20"/>
          <w:w w:val="95"/>
        </w:rPr>
        <w:t>w</w:t>
      </w:r>
      <w:r>
        <w:rPr>
          <w:color w:val="231F20"/>
          <w:spacing w:val="9"/>
        </w:rPr>
        <w:t> </w:t>
      </w:r>
      <w:r>
        <w:rPr>
          <w:color w:val="231F20"/>
          <w:w w:val="95"/>
        </w:rPr>
        <w:t>normalizacji,</w:t>
      </w:r>
      <w:r>
        <w:rPr>
          <w:color w:val="231F20"/>
          <w:spacing w:val="7"/>
        </w:rPr>
        <w:t> </w:t>
      </w:r>
      <w:r>
        <w:rPr>
          <w:color w:val="231F20"/>
          <w:w w:val="95"/>
        </w:rPr>
        <w:t>dostępne</w:t>
      </w:r>
      <w:r>
        <w:rPr>
          <w:color w:val="231F20"/>
          <w:spacing w:val="7"/>
        </w:rPr>
        <w:t> </w:t>
      </w:r>
      <w:r>
        <w:rPr>
          <w:color w:val="231F20"/>
          <w:w w:val="95"/>
        </w:rPr>
        <w:t>pod</w:t>
      </w:r>
      <w:r>
        <w:rPr>
          <w:color w:val="231F20"/>
          <w:spacing w:val="7"/>
        </w:rPr>
        <w:t> </w:t>
      </w:r>
      <w:r>
        <w:rPr>
          <w:color w:val="231F20"/>
          <w:spacing w:val="-2"/>
          <w:w w:val="90"/>
        </w:rPr>
        <w:t>następującymi</w:t>
      </w:r>
    </w:p>
    <w:p>
      <w:pPr>
        <w:pStyle w:val="BodyText"/>
        <w:spacing w:line="190" w:lineRule="exact"/>
        <w:ind w:left="142"/>
      </w:pPr>
      <w:r>
        <w:rPr>
          <w:color w:val="231F20"/>
          <w:spacing w:val="-2"/>
        </w:rPr>
        <w:t>adresami:</w:t>
      </w:r>
    </w:p>
    <w:p>
      <w:pPr>
        <w:pStyle w:val="ListParagraph"/>
        <w:numPr>
          <w:ilvl w:val="0"/>
          <w:numId w:val="5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Elektropedia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4"/>
          <w:sz w:val="20"/>
        </w:rPr>
        <w:t>IEC: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4"/>
          <w:sz w:val="20"/>
        </w:rPr>
        <w:t>dostępna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4"/>
          <w:sz w:val="20"/>
        </w:rPr>
        <w:t>na</w:t>
      </w:r>
      <w:r>
        <w:rPr>
          <w:color w:val="231F20"/>
          <w:spacing w:val="-2"/>
          <w:sz w:val="20"/>
        </w:rPr>
        <w:t> </w:t>
      </w:r>
      <w:hyperlink r:id="rId18">
        <w:r>
          <w:rPr>
            <w:color w:val="0000FF"/>
            <w:spacing w:val="-4"/>
            <w:sz w:val="20"/>
            <w:u w:val="single" w:color="0000FF"/>
          </w:rPr>
          <w:t>http://www.electropedia.org/</w:t>
        </w:r>
      </w:hyperlink>
    </w:p>
    <w:p>
      <w:pPr>
        <w:pStyle w:val="ListParagraph"/>
        <w:numPr>
          <w:ilvl w:val="0"/>
          <w:numId w:val="5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6"/>
          <w:sz w:val="20"/>
        </w:rPr>
        <w:t>platforma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internetowa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ISO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z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przeglądarką: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dostępna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na</w:t>
      </w:r>
      <w:r>
        <w:rPr>
          <w:color w:val="231F20"/>
          <w:spacing w:val="-2"/>
          <w:sz w:val="20"/>
        </w:rPr>
        <w:t> </w:t>
      </w:r>
      <w:hyperlink r:id="rId19">
        <w:r>
          <w:rPr>
            <w:color w:val="0000FF"/>
            <w:spacing w:val="-6"/>
            <w:sz w:val="20"/>
            <w:u w:val="single" w:color="0000FF"/>
          </w:rPr>
          <w:t>http://www.iso.org/obp</w:t>
        </w:r>
      </w:hyperlink>
    </w:p>
    <w:p>
      <w:pPr>
        <w:pStyle w:val="BodyText"/>
        <w:spacing w:before="7"/>
      </w:pPr>
    </w:p>
    <w:p>
      <w:pPr>
        <w:pStyle w:val="Heading4"/>
      </w:pPr>
      <w:r>
        <w:rPr>
          <w:color w:val="231F20"/>
          <w:spacing w:val="-5"/>
        </w:rPr>
        <w:t>3.1</w:t>
      </w:r>
    </w:p>
    <w:p>
      <w:pPr>
        <w:spacing w:before="10"/>
        <w:ind w:left="14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wskaźnik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powierzchniowy</w:t>
      </w:r>
    </w:p>
    <w:p>
      <w:pPr>
        <w:pStyle w:val="BodyText"/>
        <w:spacing w:line="249" w:lineRule="auto" w:before="10"/>
        <w:ind w:left="142" w:right="707"/>
        <w:jc w:val="both"/>
      </w:pPr>
      <w:r>
        <w:rPr>
          <w:color w:val="231F20"/>
          <w:spacing w:val="-8"/>
        </w:rPr>
        <w:t>wielkość</w:t>
      </w:r>
      <w:r>
        <w:rPr>
          <w:color w:val="231F20"/>
        </w:rPr>
        <w:t> </w:t>
      </w:r>
      <w:r>
        <w:rPr>
          <w:color w:val="231F20"/>
          <w:spacing w:val="-8"/>
        </w:rPr>
        <w:t>poszczególnych</w:t>
      </w:r>
      <w:r>
        <w:rPr>
          <w:color w:val="231F20"/>
        </w:rPr>
        <w:t> </w:t>
      </w:r>
      <w:r>
        <w:rPr>
          <w:color w:val="231F20"/>
          <w:spacing w:val="-8"/>
        </w:rPr>
        <w:t>rodzajów</w:t>
      </w:r>
      <w:r>
        <w:rPr>
          <w:color w:val="231F20"/>
        </w:rPr>
        <w:t> </w:t>
      </w:r>
      <w:r>
        <w:rPr>
          <w:color w:val="231F20"/>
          <w:spacing w:val="-8"/>
        </w:rPr>
        <w:t>powierzchni</w:t>
      </w:r>
      <w:r>
        <w:rPr>
          <w:color w:val="231F20"/>
        </w:rPr>
        <w:t> </w:t>
      </w:r>
      <w:r>
        <w:rPr>
          <w:color w:val="231F20"/>
          <w:spacing w:val="-8"/>
        </w:rPr>
        <w:t>(np.</w:t>
      </w:r>
      <w:r>
        <w:rPr>
          <w:color w:val="231F20"/>
        </w:rPr>
        <w:t> </w:t>
      </w:r>
      <w:r>
        <w:rPr>
          <w:color w:val="231F20"/>
          <w:spacing w:val="-8"/>
        </w:rPr>
        <w:t>powierzchni</w:t>
      </w:r>
      <w:r>
        <w:rPr>
          <w:color w:val="231F20"/>
        </w:rPr>
        <w:t> </w:t>
      </w:r>
      <w:r>
        <w:rPr>
          <w:color w:val="231F20"/>
          <w:spacing w:val="-8"/>
        </w:rPr>
        <w:t>użytkowej)</w:t>
      </w:r>
      <w:r>
        <w:rPr>
          <w:color w:val="231F20"/>
        </w:rPr>
        <w:t> </w:t>
      </w:r>
      <w:r>
        <w:rPr>
          <w:color w:val="231F20"/>
          <w:spacing w:val="-8"/>
        </w:rPr>
        <w:t>oraz</w:t>
      </w:r>
      <w:r>
        <w:rPr>
          <w:color w:val="231F20"/>
        </w:rPr>
        <w:t> </w:t>
      </w:r>
      <w:r>
        <w:rPr>
          <w:color w:val="231F20"/>
          <w:spacing w:val="-8"/>
        </w:rPr>
        <w:t>zależności</w:t>
      </w:r>
      <w:r>
        <w:rPr>
          <w:color w:val="231F20"/>
        </w:rPr>
        <w:t> </w:t>
      </w:r>
      <w:r>
        <w:rPr>
          <w:color w:val="231F20"/>
          <w:spacing w:val="-8"/>
        </w:rPr>
        <w:t>między</w:t>
      </w:r>
      <w:r>
        <w:rPr>
          <w:color w:val="231F20"/>
        </w:rPr>
        <w:t> </w:t>
      </w:r>
      <w:r>
        <w:rPr>
          <w:color w:val="231F20"/>
          <w:spacing w:val="-8"/>
        </w:rPr>
        <w:t>różnymi </w:t>
      </w:r>
      <w:r>
        <w:rPr>
          <w:color w:val="231F20"/>
        </w:rPr>
        <w:t>rodzajami powierzchni (np. powierzchnia konstrukcji/powierzchnia użytkowa)</w:t>
      </w:r>
    </w:p>
    <w:p>
      <w:pPr>
        <w:pStyle w:val="Heading4"/>
        <w:spacing w:before="229"/>
      </w:pPr>
      <w:r>
        <w:rPr>
          <w:color w:val="231F20"/>
          <w:spacing w:val="-5"/>
        </w:rPr>
        <w:t>3.2</w:t>
      </w:r>
    </w:p>
    <w:p>
      <w:pPr>
        <w:spacing w:before="10"/>
        <w:ind w:left="14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wskaźnik</w:t>
      </w:r>
      <w:r>
        <w:rPr>
          <w:rFonts w:ascii="Arial" w:hAnsi="Arial"/>
          <w:b/>
          <w:color w:val="231F20"/>
          <w:spacing w:val="-7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kubaturowy</w:t>
      </w:r>
    </w:p>
    <w:p>
      <w:pPr>
        <w:pStyle w:val="BodyText"/>
        <w:spacing w:line="249" w:lineRule="auto" w:before="10"/>
        <w:ind w:left="142" w:right="707"/>
        <w:jc w:val="both"/>
      </w:pPr>
      <w:r>
        <w:rPr>
          <w:color w:val="231F20"/>
          <w:spacing w:val="-4"/>
        </w:rPr>
        <w:t>wielkość poszczególnych rodzajów kubatur (np. kubatury netto) oraz zależności między różnymi rodzajami </w:t>
      </w:r>
      <w:r>
        <w:rPr>
          <w:color w:val="231F20"/>
        </w:rPr>
        <w:t>kubatur (np. kubatura brutto/kubatura netto)</w:t>
      </w:r>
    </w:p>
    <w:p>
      <w:pPr>
        <w:tabs>
          <w:tab w:pos="1843" w:val="left" w:leader="none"/>
        </w:tabs>
        <w:spacing w:before="170"/>
        <w:ind w:left="142" w:right="0" w:firstLine="0"/>
        <w:jc w:val="left"/>
        <w:rPr>
          <w:sz w:val="18"/>
        </w:rPr>
      </w:pPr>
      <w:r>
        <w:rPr>
          <w:color w:val="231F20"/>
          <w:sz w:val="18"/>
        </w:rPr>
        <w:t>Uwaga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hasła:</w:t>
      </w:r>
      <w:r>
        <w:rPr>
          <w:color w:val="231F20"/>
          <w:sz w:val="18"/>
        </w:rPr>
        <w:tab/>
      </w:r>
      <w:r>
        <w:rPr>
          <w:color w:val="231F20"/>
          <w:spacing w:val="-6"/>
          <w:sz w:val="18"/>
        </w:rPr>
        <w:t>Przykładem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6"/>
          <w:sz w:val="18"/>
        </w:rPr>
        <w:t>zależności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6"/>
          <w:sz w:val="18"/>
        </w:rPr>
        <w:t>wskaźników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6"/>
          <w:sz w:val="18"/>
        </w:rPr>
        <w:t>dotyczących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6"/>
          <w:sz w:val="18"/>
        </w:rPr>
        <w:t>kubatur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6"/>
          <w:sz w:val="18"/>
        </w:rPr>
        <w:t>jest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6"/>
          <w:sz w:val="18"/>
        </w:rPr>
        <w:t>kubatura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6"/>
          <w:sz w:val="18"/>
        </w:rPr>
        <w:t>brutto/kubatura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6"/>
          <w:sz w:val="18"/>
        </w:rPr>
        <w:t>netto.</w:t>
      </w:r>
    </w:p>
    <w:p>
      <w:pPr>
        <w:pStyle w:val="BodyText"/>
        <w:spacing w:before="34"/>
        <w:rPr>
          <w:sz w:val="18"/>
        </w:rPr>
      </w:pPr>
    </w:p>
    <w:p>
      <w:pPr>
        <w:pStyle w:val="Heading4"/>
      </w:pPr>
      <w:r>
        <w:rPr>
          <w:color w:val="231F20"/>
          <w:spacing w:val="-5"/>
        </w:rPr>
        <w:t>3.3</w:t>
      </w:r>
    </w:p>
    <w:p>
      <w:pPr>
        <w:spacing w:before="10"/>
        <w:ind w:left="14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2"/>
          <w:sz w:val="20"/>
        </w:rPr>
        <w:t>wskaźnik</w:t>
      </w:r>
      <w:r>
        <w:rPr>
          <w:rFonts w:ascii="Arial" w:hAnsi="Arial"/>
          <w:b/>
          <w:color w:val="231F20"/>
          <w:spacing w:val="16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mieszany</w:t>
      </w:r>
      <w:r>
        <w:rPr>
          <w:rFonts w:ascii="Arial" w:hAnsi="Arial"/>
          <w:b/>
          <w:color w:val="231F20"/>
          <w:spacing w:val="17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powierzchniowo-kubaturowy</w:t>
      </w:r>
    </w:p>
    <w:p>
      <w:pPr>
        <w:pStyle w:val="BodyText"/>
        <w:spacing w:line="249" w:lineRule="auto" w:before="10"/>
        <w:ind w:left="142" w:right="706"/>
        <w:jc w:val="both"/>
      </w:pPr>
      <w:r>
        <w:rPr>
          <w:color w:val="231F20"/>
          <w:spacing w:val="-6"/>
        </w:rPr>
        <w:t>wskaźnik</w:t>
      </w:r>
      <w:r>
        <w:rPr>
          <w:color w:val="231F20"/>
          <w:spacing w:val="-6"/>
        </w:rPr>
        <w:t> ustalający</w:t>
      </w:r>
      <w:r>
        <w:rPr>
          <w:color w:val="231F20"/>
          <w:spacing w:val="-6"/>
        </w:rPr>
        <w:t> zależność</w:t>
      </w:r>
      <w:r>
        <w:rPr>
          <w:color w:val="231F20"/>
          <w:spacing w:val="-6"/>
        </w:rPr>
        <w:t> między</w:t>
      </w:r>
      <w:r>
        <w:rPr>
          <w:color w:val="231F20"/>
          <w:spacing w:val="-6"/>
        </w:rPr>
        <w:t> określonym</w:t>
      </w:r>
      <w:r>
        <w:rPr>
          <w:color w:val="231F20"/>
          <w:spacing w:val="-6"/>
        </w:rPr>
        <w:t> rodzajem</w:t>
      </w:r>
      <w:r>
        <w:rPr>
          <w:color w:val="231F20"/>
          <w:spacing w:val="-6"/>
        </w:rPr>
        <w:t> kubatury</w:t>
      </w:r>
      <w:r>
        <w:rPr>
          <w:color w:val="231F20"/>
          <w:spacing w:val="-6"/>
        </w:rPr>
        <w:t> i</w:t>
      </w:r>
      <w:r>
        <w:rPr>
          <w:color w:val="231F20"/>
          <w:spacing w:val="-6"/>
        </w:rPr>
        <w:t> określonym</w:t>
      </w:r>
      <w:r>
        <w:rPr>
          <w:color w:val="231F20"/>
          <w:spacing w:val="-6"/>
        </w:rPr>
        <w:t> rodzajem</w:t>
      </w:r>
      <w:r>
        <w:rPr>
          <w:color w:val="231F20"/>
          <w:spacing w:val="-6"/>
        </w:rPr>
        <w:t> powierzchni </w:t>
      </w:r>
      <w:r>
        <w:rPr>
          <w:color w:val="231F20"/>
          <w:spacing w:val="-4"/>
        </w:rPr>
        <w:t>(np.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kubatura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całkowita/powierzchnia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użytkowa)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oraz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określonym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rodzajem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powierzchni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określonym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rodzajem </w:t>
      </w:r>
      <w:r>
        <w:rPr>
          <w:color w:val="231F20"/>
          <w:spacing w:val="-2"/>
        </w:rPr>
        <w:t>kubatury</w:t>
      </w:r>
    </w:p>
    <w:p>
      <w:pPr>
        <w:spacing w:line="254" w:lineRule="auto" w:before="172"/>
        <w:ind w:left="142" w:right="707" w:firstLine="0"/>
        <w:jc w:val="both"/>
        <w:rPr>
          <w:sz w:val="18"/>
        </w:rPr>
      </w:pPr>
      <w:r>
        <w:rPr>
          <w:color w:val="231F20"/>
          <w:sz w:val="18"/>
        </w:rPr>
        <w:t>Uwaga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hasła:</w:t>
      </w:r>
      <w:r>
        <w:rPr>
          <w:color w:val="231F20"/>
          <w:spacing w:val="48"/>
          <w:sz w:val="18"/>
        </w:rPr>
        <w:t> </w:t>
      </w:r>
      <w:r>
        <w:rPr>
          <w:color w:val="231F20"/>
          <w:sz w:val="18"/>
        </w:rPr>
        <w:t>W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Rozdziale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5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podano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dalsze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określenia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różnych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rodzajów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powierzchni,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kubatur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wskaźników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wraz z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właściwymi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metodami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obliczeń.</w:t>
      </w:r>
    </w:p>
    <w:p>
      <w:pPr>
        <w:tabs>
          <w:tab w:pos="1843" w:val="left" w:leader="none"/>
        </w:tabs>
        <w:spacing w:before="171"/>
        <w:ind w:left="142" w:right="0" w:firstLine="0"/>
        <w:jc w:val="left"/>
        <w:rPr>
          <w:sz w:val="18"/>
        </w:rPr>
      </w:pPr>
      <w:r>
        <w:rPr>
          <w:color w:val="231F20"/>
          <w:sz w:val="18"/>
        </w:rPr>
        <w:t>Uwaga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hasła: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Przykładem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wskaźnika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mieszanego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jest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powierzchnia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obudowy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budynku/kubatura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netto.</w:t>
      </w:r>
    </w:p>
    <w:p>
      <w:pPr>
        <w:pStyle w:val="BodyText"/>
        <w:spacing w:before="34"/>
        <w:rPr>
          <w:sz w:val="18"/>
        </w:rPr>
      </w:pPr>
    </w:p>
    <w:p>
      <w:pPr>
        <w:pStyle w:val="Heading4"/>
      </w:pPr>
      <w:r>
        <w:rPr>
          <w:color w:val="231F20"/>
          <w:spacing w:val="-5"/>
        </w:rPr>
        <w:t>3.4</w:t>
      </w:r>
    </w:p>
    <w:p>
      <w:pPr>
        <w:spacing w:before="10"/>
        <w:ind w:left="14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powierzchnia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z w:val="20"/>
        </w:rPr>
        <w:t>nieużyteczna</w:t>
      </w:r>
      <w:r>
        <w:rPr>
          <w:rFonts w:ascii="Arial" w:hAnsi="Arial"/>
          <w:b/>
          <w:color w:val="231F20"/>
          <w:spacing w:val="-11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budynku</w:t>
      </w:r>
    </w:p>
    <w:p>
      <w:pPr>
        <w:pStyle w:val="BodyText"/>
        <w:spacing w:line="249" w:lineRule="auto" w:before="10"/>
        <w:ind w:left="142" w:right="707"/>
        <w:jc w:val="both"/>
      </w:pPr>
      <w:r>
        <w:rPr>
          <w:color w:val="231F20"/>
          <w:w w:val="90"/>
        </w:rPr>
        <w:t>właściwość lub element budynku powodujący, że część powierzchni budynku nie nadaje się do wykonywania </w:t>
      </w:r>
      <w:r>
        <w:rPr>
          <w:color w:val="231F20"/>
        </w:rPr>
        <w:t>tam</w:t>
      </w:r>
      <w:r>
        <w:rPr>
          <w:color w:val="231F20"/>
          <w:spacing w:val="-14"/>
        </w:rPr>
        <w:t> </w:t>
      </w:r>
      <w:r>
        <w:rPr>
          <w:color w:val="231F20"/>
        </w:rPr>
        <w:t>niektórych</w:t>
      </w:r>
      <w:r>
        <w:rPr>
          <w:color w:val="231F20"/>
          <w:spacing w:val="-14"/>
        </w:rPr>
        <w:t> </w:t>
      </w:r>
      <w:r>
        <w:rPr>
          <w:color w:val="231F20"/>
        </w:rPr>
        <w:t>czynności</w:t>
      </w:r>
      <w:r>
        <w:rPr>
          <w:color w:val="231F20"/>
          <w:spacing w:val="-14"/>
        </w:rPr>
        <w:t> </w:t>
      </w:r>
      <w:r>
        <w:rPr>
          <w:color w:val="231F20"/>
        </w:rPr>
        <w:t>ani</w:t>
      </w:r>
      <w:r>
        <w:rPr>
          <w:color w:val="231F20"/>
          <w:spacing w:val="-14"/>
        </w:rPr>
        <w:t> </w:t>
      </w:r>
      <w:r>
        <w:rPr>
          <w:color w:val="231F20"/>
        </w:rPr>
        <w:t>do</w:t>
      </w:r>
      <w:r>
        <w:rPr>
          <w:color w:val="231F20"/>
          <w:spacing w:val="-14"/>
        </w:rPr>
        <w:t> </w:t>
      </w:r>
      <w:r>
        <w:rPr>
          <w:color w:val="231F20"/>
        </w:rPr>
        <w:t>umeblowania,</w:t>
      </w:r>
      <w:r>
        <w:rPr>
          <w:color w:val="231F20"/>
          <w:spacing w:val="-14"/>
        </w:rPr>
        <w:t> </w:t>
      </w:r>
      <w:r>
        <w:rPr>
          <w:color w:val="231F20"/>
        </w:rPr>
        <w:t>wyposażenia</w:t>
      </w:r>
      <w:r>
        <w:rPr>
          <w:color w:val="231F20"/>
          <w:spacing w:val="-14"/>
        </w:rPr>
        <w:t> </w:t>
      </w:r>
      <w:r>
        <w:rPr>
          <w:color w:val="231F20"/>
        </w:rPr>
        <w:t>lub</w:t>
      </w:r>
      <w:r>
        <w:rPr>
          <w:color w:val="231F20"/>
          <w:spacing w:val="-14"/>
        </w:rPr>
        <w:t> </w:t>
      </w:r>
      <w:r>
        <w:rPr>
          <w:color w:val="231F20"/>
        </w:rPr>
        <w:t>poruszania</w:t>
      </w:r>
      <w:r>
        <w:rPr>
          <w:color w:val="231F20"/>
          <w:spacing w:val="-14"/>
        </w:rPr>
        <w:t> </w:t>
      </w:r>
      <w:r>
        <w:rPr>
          <w:color w:val="231F20"/>
        </w:rPr>
        <w:t>się</w:t>
      </w:r>
      <w:r>
        <w:rPr>
          <w:color w:val="231F20"/>
          <w:spacing w:val="-13"/>
        </w:rPr>
        <w:t> </w:t>
      </w:r>
      <w:r>
        <w:rPr>
          <w:color w:val="231F20"/>
        </w:rPr>
        <w:t>po</w:t>
      </w:r>
      <w:r>
        <w:rPr>
          <w:color w:val="231F20"/>
          <w:spacing w:val="-14"/>
        </w:rPr>
        <w:t> </w:t>
      </w:r>
      <w:r>
        <w:rPr>
          <w:color w:val="231F20"/>
        </w:rPr>
        <w:t>niej</w:t>
      </w:r>
    </w:p>
    <w:p>
      <w:pPr>
        <w:spacing w:line="254" w:lineRule="auto" w:before="170"/>
        <w:ind w:left="142" w:right="708" w:firstLine="0"/>
        <w:jc w:val="both"/>
        <w:rPr>
          <w:sz w:val="18"/>
        </w:rPr>
      </w:pPr>
      <w:r>
        <w:rPr>
          <w:color w:val="231F20"/>
          <w:spacing w:val="-6"/>
          <w:sz w:val="18"/>
        </w:rPr>
        <w:t>Uwaga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1 do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hasła:</w:t>
      </w:r>
      <w:r>
        <w:rPr>
          <w:color w:val="231F20"/>
          <w:spacing w:val="73"/>
          <w:w w:val="150"/>
          <w:sz w:val="18"/>
        </w:rPr>
        <w:t> </w:t>
      </w:r>
      <w:r>
        <w:rPr>
          <w:color w:val="231F20"/>
          <w:spacing w:val="-6"/>
          <w:sz w:val="18"/>
        </w:rPr>
        <w:t>Przykładami miejsc, w których część powierzchni może nie być dostępna ze względu na obecność </w:t>
      </w:r>
      <w:r>
        <w:rPr>
          <w:color w:val="231F20"/>
          <w:sz w:val="18"/>
        </w:rPr>
        <w:t>powierzchni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nieużytecznej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budynku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miejsca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pracy,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korytarze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itp.</w:t>
      </w:r>
    </w:p>
    <w:p>
      <w:pPr>
        <w:spacing w:line="254" w:lineRule="auto" w:before="172"/>
        <w:ind w:left="142" w:right="707" w:firstLine="0"/>
        <w:jc w:val="both"/>
        <w:rPr>
          <w:sz w:val="18"/>
        </w:rPr>
      </w:pPr>
      <w:r>
        <w:rPr>
          <w:color w:val="231F20"/>
          <w:spacing w:val="-2"/>
          <w:sz w:val="18"/>
        </w:rPr>
        <w:t>Uwaga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2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do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hasła:</w:t>
      </w:r>
      <w:r>
        <w:rPr>
          <w:color w:val="231F20"/>
          <w:spacing w:val="29"/>
          <w:sz w:val="18"/>
        </w:rPr>
        <w:t> </w:t>
      </w:r>
      <w:r>
        <w:rPr>
          <w:color w:val="231F20"/>
          <w:spacing w:val="-2"/>
          <w:sz w:val="18"/>
        </w:rPr>
        <w:t>Występowanie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powierzchni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nieużytecznej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budynku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może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być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spowodowane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fizyczną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obecnością </w:t>
      </w:r>
      <w:r>
        <w:rPr>
          <w:color w:val="231F20"/>
          <w:sz w:val="18"/>
        </w:rPr>
        <w:t>takich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elementów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budynku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jak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np.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słup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lub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ukształtowaniem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elementu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takim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jak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krzywizna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ściany,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lub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przebiegiem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drogi ewakuacyjnej wymaganym przepisami, a nie wynikającym z potrzeb normalnego ruchu.</w:t>
      </w:r>
    </w:p>
    <w:p>
      <w:pPr>
        <w:pStyle w:val="BodyText"/>
        <w:spacing w:before="22"/>
        <w:rPr>
          <w:sz w:val="18"/>
        </w:rPr>
      </w:pPr>
    </w:p>
    <w:p>
      <w:pPr>
        <w:pStyle w:val="Heading4"/>
        <w:spacing w:before="1"/>
      </w:pPr>
      <w:r>
        <w:rPr>
          <w:color w:val="231F20"/>
          <w:spacing w:val="-5"/>
        </w:rPr>
        <w:t>3.5</w:t>
      </w:r>
    </w:p>
    <w:p>
      <w:pPr>
        <w:spacing w:before="10"/>
        <w:ind w:left="14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powierzchnia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nieużyteczna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budynku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ze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względów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funkcjonalnych</w:t>
      </w:r>
    </w:p>
    <w:p>
      <w:pPr>
        <w:pStyle w:val="BodyText"/>
        <w:spacing w:line="249" w:lineRule="auto" w:before="10"/>
        <w:ind w:left="142" w:right="706"/>
        <w:jc w:val="both"/>
      </w:pPr>
      <w:r>
        <w:rPr>
          <w:color w:val="231F20"/>
          <w:spacing w:val="-4"/>
        </w:rPr>
        <w:t>część powierzchni budynku niezajęta fizycznie przez jego elementy, jednak nie w pełni użyteczna z powodu braku możliwości wykonywania tam niektórych czynności lub jej umeblowania, wyposażenia, lub poruszania się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niej,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względu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obecność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powierzchni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nieużytecznej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budynku</w:t>
      </w:r>
    </w:p>
    <w:p>
      <w:pPr>
        <w:spacing w:line="254" w:lineRule="auto" w:before="171"/>
        <w:ind w:left="142" w:right="708" w:firstLine="0"/>
        <w:jc w:val="both"/>
        <w:rPr>
          <w:sz w:val="18"/>
        </w:rPr>
      </w:pPr>
      <w:r>
        <w:rPr>
          <w:color w:val="231F20"/>
          <w:spacing w:val="-6"/>
          <w:sz w:val="18"/>
        </w:rPr>
        <w:t>Uwaga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1 do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hasła:</w:t>
      </w:r>
      <w:r>
        <w:rPr>
          <w:color w:val="231F20"/>
          <w:spacing w:val="73"/>
          <w:w w:val="150"/>
          <w:sz w:val="18"/>
        </w:rPr>
        <w:t> </w:t>
      </w:r>
      <w:r>
        <w:rPr>
          <w:color w:val="231F20"/>
          <w:spacing w:val="-6"/>
          <w:sz w:val="18"/>
        </w:rPr>
        <w:t>Przykładami miejsc, w których część powierzchni może nie być dostępna ze względu na obecność </w:t>
      </w:r>
      <w:r>
        <w:rPr>
          <w:color w:val="231F20"/>
          <w:sz w:val="18"/>
        </w:rPr>
        <w:t>powierzchni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nieużytecznej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budynku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miejsca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pracy,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korytarze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itp.</w:t>
      </w:r>
    </w:p>
    <w:p>
      <w:pPr>
        <w:pStyle w:val="BodyText"/>
        <w:spacing w:before="22"/>
        <w:rPr>
          <w:sz w:val="18"/>
        </w:rPr>
      </w:pPr>
    </w:p>
    <w:p>
      <w:pPr>
        <w:pStyle w:val="Heading4"/>
      </w:pPr>
      <w:r>
        <w:rPr>
          <w:color w:val="231F20"/>
          <w:spacing w:val="-5"/>
        </w:rPr>
        <w:t>3.6</w:t>
      </w:r>
    </w:p>
    <w:p>
      <w:pPr>
        <w:spacing w:before="10"/>
        <w:ind w:left="14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powierzchnia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nieużyteczna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budynku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ze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względów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pacing w:val="-2"/>
          <w:sz w:val="20"/>
        </w:rPr>
        <w:t>konstrukcyjnych</w:t>
      </w:r>
    </w:p>
    <w:p>
      <w:pPr>
        <w:pStyle w:val="BodyText"/>
        <w:spacing w:line="249" w:lineRule="auto" w:before="10"/>
        <w:ind w:left="142" w:right="706"/>
        <w:jc w:val="both"/>
      </w:pPr>
      <w:r>
        <w:rPr>
          <w:color w:val="231F20"/>
          <w:w w:val="90"/>
        </w:rPr>
        <w:t>część powierzchni budynku, która nie nadaje się do wykonywania tam niektórych czynności ani do umeblowania, </w:t>
      </w:r>
      <w:r>
        <w:rPr>
          <w:color w:val="231F20"/>
          <w:spacing w:val="-2"/>
        </w:rPr>
        <w:t>wyposażenia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lub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poruszania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się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niej,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ponieważ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jest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obszarem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zajętym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fizycznie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przez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elementy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budynku </w:t>
      </w:r>
      <w:r>
        <w:rPr>
          <w:color w:val="231F20"/>
        </w:rPr>
        <w:t>lub powinna pozostać wolna ze względu na wymagania przepisów techniczno-budowlanych lub warunków umów cywilnoprawnych.</w:t>
      </w:r>
    </w:p>
    <w:p>
      <w:pPr>
        <w:spacing w:line="254" w:lineRule="auto" w:before="172"/>
        <w:ind w:left="142" w:right="708" w:firstLine="0"/>
        <w:jc w:val="both"/>
        <w:rPr>
          <w:sz w:val="18"/>
        </w:rPr>
      </w:pPr>
      <w:r>
        <w:rPr>
          <w:color w:val="231F20"/>
          <w:spacing w:val="-6"/>
          <w:sz w:val="18"/>
        </w:rPr>
        <w:t>Uwaga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1 do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hasła:</w:t>
      </w:r>
      <w:r>
        <w:rPr>
          <w:color w:val="231F20"/>
          <w:spacing w:val="73"/>
          <w:w w:val="150"/>
          <w:sz w:val="18"/>
        </w:rPr>
        <w:t> </w:t>
      </w:r>
      <w:r>
        <w:rPr>
          <w:color w:val="231F20"/>
          <w:spacing w:val="-6"/>
          <w:sz w:val="18"/>
        </w:rPr>
        <w:t>Przykładami miejsc, w których część powierzchni może nie być dostępna ze względu na obecność </w:t>
      </w:r>
      <w:r>
        <w:rPr>
          <w:color w:val="231F20"/>
          <w:sz w:val="18"/>
        </w:rPr>
        <w:t>powierzchni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nieużytecznej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budynku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miejsca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pracy,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korytarze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itp.</w:t>
      </w:r>
    </w:p>
    <w:p>
      <w:pPr>
        <w:spacing w:after="0" w:line="254" w:lineRule="auto"/>
        <w:jc w:val="both"/>
        <w:rPr>
          <w:sz w:val="18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Heading4"/>
        <w:spacing w:before="229"/>
        <w:ind w:left="709"/>
      </w:pPr>
      <w:bookmarkStart w:name="4 Jednostki" w:id="14"/>
      <w:bookmarkEnd w:id="14"/>
      <w:r>
        <w:rPr>
          <w:b w:val="0"/>
        </w:rPr>
      </w:r>
      <w:bookmarkStart w:name="5 Metody obliczeń według pomiarów w licu" w:id="15"/>
      <w:bookmarkEnd w:id="15"/>
      <w:r>
        <w:rPr>
          <w:b w:val="0"/>
        </w:rPr>
      </w:r>
      <w:bookmarkStart w:name="5.1 Powierzchnie" w:id="16"/>
      <w:bookmarkEnd w:id="16"/>
      <w:r>
        <w:rPr>
          <w:b w:val="0"/>
        </w:rPr>
      </w:r>
      <w:bookmarkStart w:name="5.1.1 Zasady obliczeń" w:id="17"/>
      <w:bookmarkEnd w:id="17"/>
      <w:r>
        <w:rPr>
          <w:b w:val="0"/>
        </w:rPr>
      </w:r>
      <w:bookmarkStart w:name="5.1.2 Powierzchnia zabudowy" w:id="18"/>
      <w:bookmarkEnd w:id="18"/>
      <w:r>
        <w:rPr>
          <w:b w:val="0"/>
        </w:rPr>
      </w:r>
      <w:bookmarkStart w:name="5.1.3 Powierzchnia całkowita" w:id="19"/>
      <w:bookmarkEnd w:id="19"/>
      <w:r>
        <w:rPr>
          <w:b w:val="0"/>
        </w:rPr>
      </w:r>
      <w:bookmarkStart w:name="_bookmark4" w:id="20"/>
      <w:bookmarkEnd w:id="20"/>
      <w:r>
        <w:rPr>
          <w:b w:val="0"/>
        </w:rPr>
      </w:r>
      <w:r>
        <w:rPr>
          <w:color w:val="231F20"/>
          <w:spacing w:val="-5"/>
        </w:rPr>
        <w:t>3.7</w:t>
      </w:r>
    </w:p>
    <w:p>
      <w:pPr>
        <w:spacing w:before="10"/>
        <w:ind w:left="70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obszar</w:t>
      </w:r>
      <w:r>
        <w:rPr>
          <w:rFonts w:ascii="Arial"/>
          <w:b/>
          <w:color w:val="231F20"/>
          <w:spacing w:val="-5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ingerencji</w:t>
      </w:r>
    </w:p>
    <w:p>
      <w:pPr>
        <w:pStyle w:val="BodyText"/>
        <w:spacing w:line="249" w:lineRule="auto" w:before="10"/>
        <w:ind w:left="709"/>
      </w:pPr>
      <w:r>
        <w:rPr>
          <w:color w:val="231F20"/>
        </w:rPr>
        <w:t>lokalne</w:t>
      </w:r>
      <w:r>
        <w:rPr>
          <w:color w:val="231F20"/>
          <w:spacing w:val="-6"/>
        </w:rPr>
        <w:t> </w:t>
      </w:r>
      <w:r>
        <w:rPr>
          <w:color w:val="231F20"/>
        </w:rPr>
        <w:t>zaburzenie</w:t>
      </w:r>
      <w:r>
        <w:rPr>
          <w:color w:val="231F20"/>
          <w:spacing w:val="-5"/>
        </w:rPr>
        <w:t> </w:t>
      </w:r>
      <w:r>
        <w:rPr>
          <w:color w:val="231F20"/>
        </w:rPr>
        <w:t>obrysu</w:t>
      </w:r>
      <w:r>
        <w:rPr>
          <w:color w:val="231F20"/>
          <w:spacing w:val="-5"/>
        </w:rPr>
        <w:t> </w:t>
      </w:r>
      <w:r>
        <w:rPr>
          <w:color w:val="231F20"/>
        </w:rPr>
        <w:t>pomieszczenia</w:t>
      </w:r>
      <w:r>
        <w:rPr>
          <w:color w:val="231F20"/>
          <w:spacing w:val="-5"/>
        </w:rPr>
        <w:t> </w:t>
      </w:r>
      <w:r>
        <w:rPr>
          <w:color w:val="231F20"/>
        </w:rPr>
        <w:t>budynku</w:t>
      </w:r>
      <w:r>
        <w:rPr>
          <w:color w:val="231F20"/>
          <w:spacing w:val="-5"/>
        </w:rPr>
        <w:t> </w:t>
      </w:r>
      <w:r>
        <w:rPr>
          <w:color w:val="231F20"/>
        </w:rPr>
        <w:t>uniemożliwiające</w:t>
      </w:r>
      <w:r>
        <w:rPr>
          <w:color w:val="231F20"/>
          <w:spacing w:val="-5"/>
        </w:rPr>
        <w:t> </w:t>
      </w:r>
      <w:r>
        <w:rPr>
          <w:color w:val="231F20"/>
        </w:rPr>
        <w:t>efektywne</w:t>
      </w:r>
      <w:r>
        <w:rPr>
          <w:color w:val="231F20"/>
          <w:spacing w:val="-6"/>
        </w:rPr>
        <w:t> </w:t>
      </w:r>
      <w:r>
        <w:rPr>
          <w:color w:val="231F20"/>
        </w:rPr>
        <w:t>wykorzystanie</w:t>
      </w:r>
      <w:r>
        <w:rPr>
          <w:color w:val="231F20"/>
          <w:spacing w:val="-5"/>
        </w:rPr>
        <w:t> </w:t>
      </w:r>
      <w:r>
        <w:rPr>
          <w:color w:val="231F20"/>
        </w:rPr>
        <w:t>powierzchni </w:t>
      </w:r>
      <w:r>
        <w:rPr>
          <w:color w:val="231F20"/>
          <w:spacing w:val="-2"/>
        </w:rPr>
        <w:t>przy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ścianie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lub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innym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regularnie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występującym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elemencie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budynku</w:t>
      </w:r>
    </w:p>
    <w:p>
      <w:pPr>
        <w:tabs>
          <w:tab w:pos="2410" w:val="left" w:leader="none"/>
        </w:tabs>
        <w:spacing w:before="170"/>
        <w:ind w:left="709" w:right="0" w:firstLine="0"/>
        <w:jc w:val="left"/>
        <w:rPr>
          <w:sz w:val="18"/>
        </w:rPr>
      </w:pPr>
      <w:r>
        <w:rPr>
          <w:color w:val="231F20"/>
          <w:sz w:val="18"/>
        </w:rPr>
        <w:t>Uwaga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hasła:</w:t>
      </w:r>
      <w:r>
        <w:rPr>
          <w:color w:val="231F20"/>
          <w:sz w:val="18"/>
        </w:rPr>
        <w:tab/>
      </w:r>
      <w:r>
        <w:rPr>
          <w:color w:val="231F20"/>
          <w:spacing w:val="-2"/>
          <w:sz w:val="18"/>
        </w:rPr>
        <w:t>Przykładami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obszaru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ingerencji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są: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pilaster,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ogrzewacz,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grzejnik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cokołowy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i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2"/>
          <w:sz w:val="18"/>
        </w:rPr>
        <w:t>kaloryfer.</w:t>
      </w:r>
    </w:p>
    <w:p>
      <w:pPr>
        <w:pStyle w:val="BodyText"/>
        <w:spacing w:before="206"/>
        <w:rPr>
          <w:sz w:val="18"/>
        </w:rPr>
      </w:pPr>
    </w:p>
    <w:p>
      <w:pPr>
        <w:pStyle w:val="Heading2"/>
        <w:numPr>
          <w:ilvl w:val="0"/>
          <w:numId w:val="3"/>
        </w:numPr>
        <w:tabs>
          <w:tab w:pos="1106" w:val="left" w:leader="none"/>
        </w:tabs>
        <w:spacing w:line="240" w:lineRule="auto" w:before="1" w:after="0"/>
        <w:ind w:left="1106" w:right="0" w:hanging="397"/>
        <w:jc w:val="left"/>
      </w:pPr>
      <w:r>
        <w:rPr>
          <w:color w:val="231F20"/>
          <w:spacing w:val="-2"/>
        </w:rPr>
        <w:t>Jednostki</w:t>
      </w:r>
    </w:p>
    <w:p>
      <w:pPr>
        <w:pStyle w:val="BodyText"/>
        <w:spacing w:line="249" w:lineRule="auto" w:before="256"/>
        <w:ind w:left="709"/>
      </w:pPr>
      <w:r>
        <w:rPr>
          <w:color w:val="231F20"/>
          <w:spacing w:val="-2"/>
        </w:rPr>
        <w:t>Wskaźniki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powierzchniowe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kubaturowe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uzyskuje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się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z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pomiarów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rzutu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przekroju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budynku.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Jednostki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użyte 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ich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wyrażania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zależą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rodzaju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obliczanego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wskaźnika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(m</w:t>
      </w:r>
      <w:r>
        <w:rPr>
          <w:color w:val="231F20"/>
          <w:spacing w:val="-2"/>
          <w:vertAlign w:val="superscript"/>
        </w:rPr>
        <w:t>2</w:t>
      </w:r>
      <w:r>
        <w:rPr>
          <w:color w:val="231F20"/>
          <w:spacing w:val="-2"/>
          <w:vertAlign w:val="baseline"/>
        </w:rPr>
        <w:t>,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m</w:t>
      </w:r>
      <w:r>
        <w:rPr>
          <w:color w:val="231F20"/>
          <w:spacing w:val="-2"/>
          <w:vertAlign w:val="superscript"/>
        </w:rPr>
        <w:t>3</w:t>
      </w:r>
      <w:r>
        <w:rPr>
          <w:color w:val="231F20"/>
          <w:spacing w:val="-2"/>
          <w:vertAlign w:val="baseline"/>
        </w:rPr>
        <w:t>,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m</w:t>
      </w:r>
      <w:r>
        <w:rPr>
          <w:color w:val="231F20"/>
          <w:spacing w:val="-2"/>
          <w:vertAlign w:val="superscript"/>
        </w:rPr>
        <w:t>2</w:t>
      </w:r>
      <w:r>
        <w:rPr>
          <w:color w:val="231F20"/>
          <w:spacing w:val="-2"/>
          <w:vertAlign w:val="baseline"/>
        </w:rPr>
        <w:t>/m</w:t>
      </w:r>
      <w:r>
        <w:rPr>
          <w:color w:val="231F20"/>
          <w:spacing w:val="-2"/>
          <w:vertAlign w:val="superscript"/>
        </w:rPr>
        <w:t>2</w:t>
      </w:r>
      <w:r>
        <w:rPr>
          <w:color w:val="231F20"/>
          <w:spacing w:val="-2"/>
          <w:vertAlign w:val="baseline"/>
        </w:rPr>
        <w:t>,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m</w:t>
      </w:r>
      <w:r>
        <w:rPr>
          <w:color w:val="231F20"/>
          <w:spacing w:val="-2"/>
          <w:vertAlign w:val="superscript"/>
        </w:rPr>
        <w:t>3</w:t>
      </w:r>
      <w:r>
        <w:rPr>
          <w:color w:val="231F20"/>
          <w:spacing w:val="-2"/>
          <w:vertAlign w:val="baseline"/>
        </w:rPr>
        <w:t>/m</w:t>
      </w:r>
      <w:r>
        <w:rPr>
          <w:color w:val="231F20"/>
          <w:spacing w:val="-2"/>
          <w:vertAlign w:val="superscript"/>
        </w:rPr>
        <w:t>3</w:t>
      </w:r>
      <w:r>
        <w:rPr>
          <w:color w:val="231F20"/>
          <w:spacing w:val="-2"/>
          <w:vertAlign w:val="baseline"/>
        </w:rPr>
        <w:t>,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m</w:t>
      </w:r>
      <w:r>
        <w:rPr>
          <w:color w:val="231F20"/>
          <w:spacing w:val="-2"/>
          <w:vertAlign w:val="superscript"/>
        </w:rPr>
        <w:t>2</w:t>
      </w:r>
      <w:r>
        <w:rPr>
          <w:color w:val="231F20"/>
          <w:spacing w:val="-2"/>
          <w:vertAlign w:val="baseline"/>
        </w:rPr>
        <w:t>/m</w:t>
      </w:r>
      <w:r>
        <w:rPr>
          <w:color w:val="231F20"/>
          <w:spacing w:val="-2"/>
          <w:vertAlign w:val="superscript"/>
        </w:rPr>
        <w:t>3</w:t>
      </w:r>
      <w:r>
        <w:rPr>
          <w:color w:val="231F20"/>
          <w:spacing w:val="-2"/>
          <w:vertAlign w:val="baseline"/>
        </w:rPr>
        <w:t>,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spacing w:val="-2"/>
          <w:vertAlign w:val="baseline"/>
        </w:rPr>
        <w:t>m</w:t>
      </w:r>
      <w:r>
        <w:rPr>
          <w:color w:val="231F20"/>
          <w:spacing w:val="-2"/>
          <w:vertAlign w:val="superscript"/>
        </w:rPr>
        <w:t>3</w:t>
      </w:r>
      <w:r>
        <w:rPr>
          <w:color w:val="231F20"/>
          <w:spacing w:val="-2"/>
          <w:vertAlign w:val="baseline"/>
        </w:rPr>
        <w:t>/m</w:t>
      </w:r>
      <w:r>
        <w:rPr>
          <w:color w:val="231F20"/>
          <w:spacing w:val="-2"/>
          <w:vertAlign w:val="superscript"/>
        </w:rPr>
        <w:t>2</w:t>
      </w:r>
      <w:r>
        <w:rPr>
          <w:color w:val="231F20"/>
          <w:spacing w:val="-2"/>
          <w:vertAlign w:val="baseline"/>
        </w:rPr>
        <w:t>).</w:t>
      </w:r>
    </w:p>
    <w:p>
      <w:pPr>
        <w:pStyle w:val="BodyText"/>
        <w:spacing w:before="171"/>
      </w:pPr>
    </w:p>
    <w:p>
      <w:pPr>
        <w:pStyle w:val="Heading2"/>
        <w:numPr>
          <w:ilvl w:val="0"/>
          <w:numId w:val="3"/>
        </w:numPr>
        <w:tabs>
          <w:tab w:pos="1106" w:val="left" w:leader="none"/>
        </w:tabs>
        <w:spacing w:line="242" w:lineRule="auto" w:before="0" w:after="0"/>
        <w:ind w:left="1106" w:right="1085" w:hanging="397"/>
        <w:jc w:val="left"/>
      </w:pPr>
      <w:r>
        <w:rPr>
          <w:color w:val="231F20"/>
        </w:rPr>
        <w:t>Metody</w:t>
      </w:r>
      <w:r>
        <w:rPr>
          <w:color w:val="231F20"/>
          <w:spacing w:val="-4"/>
        </w:rPr>
        <w:t> </w:t>
      </w:r>
      <w:r>
        <w:rPr>
          <w:color w:val="231F20"/>
        </w:rPr>
        <w:t>obliczeń</w:t>
      </w:r>
      <w:r>
        <w:rPr>
          <w:color w:val="231F20"/>
          <w:spacing w:val="-4"/>
        </w:rPr>
        <w:t> </w:t>
      </w:r>
      <w:r>
        <w:rPr>
          <w:color w:val="231F20"/>
        </w:rPr>
        <w:t>według</w:t>
      </w:r>
      <w:r>
        <w:rPr>
          <w:color w:val="231F20"/>
          <w:spacing w:val="-4"/>
        </w:rPr>
        <w:t> </w:t>
      </w:r>
      <w:r>
        <w:rPr>
          <w:color w:val="231F20"/>
        </w:rPr>
        <w:t>pomiarów</w:t>
      </w:r>
      <w:r>
        <w:rPr>
          <w:color w:val="231F20"/>
          <w:spacing w:val="-4"/>
        </w:rPr>
        <w:t> </w:t>
      </w:r>
      <w:r>
        <w:rPr>
          <w:color w:val="231F20"/>
        </w:rPr>
        <w:t>w</w:t>
      </w:r>
      <w:r>
        <w:rPr>
          <w:color w:val="231F20"/>
          <w:spacing w:val="-4"/>
        </w:rPr>
        <w:t> </w:t>
      </w:r>
      <w:r>
        <w:rPr>
          <w:color w:val="231F20"/>
        </w:rPr>
        <w:t>licu</w:t>
      </w:r>
      <w:r>
        <w:rPr>
          <w:color w:val="231F20"/>
          <w:spacing w:val="-5"/>
        </w:rPr>
        <w:t> </w:t>
      </w:r>
      <w:r>
        <w:rPr>
          <w:color w:val="231F20"/>
        </w:rPr>
        <w:t>przegród</w:t>
      </w:r>
      <w:r>
        <w:rPr>
          <w:color w:val="231F20"/>
          <w:spacing w:val="-4"/>
        </w:rPr>
        <w:t> </w:t>
      </w:r>
      <w:r>
        <w:rPr>
          <w:color w:val="231F20"/>
        </w:rPr>
        <w:t>budowlanych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4"/>
        </w:rPr>
        <w:t> </w:t>
      </w:r>
      <w:r>
        <w:rPr>
          <w:color w:val="231F20"/>
        </w:rPr>
        <w:t>wykaz wskaźników dotyczących przestrzennego ukształtowania budynku</w:t>
      </w:r>
    </w:p>
    <w:p>
      <w:pPr>
        <w:pStyle w:val="BodyText"/>
        <w:spacing w:before="66"/>
        <w:rPr>
          <w:rFonts w:ascii="Arial"/>
          <w:b/>
          <w:sz w:val="24"/>
        </w:rPr>
      </w:pPr>
    </w:p>
    <w:p>
      <w:pPr>
        <w:pStyle w:val="Heading3"/>
        <w:numPr>
          <w:ilvl w:val="1"/>
          <w:numId w:val="3"/>
        </w:numPr>
        <w:tabs>
          <w:tab w:pos="1219" w:val="left" w:leader="none"/>
        </w:tabs>
        <w:spacing w:line="240" w:lineRule="auto" w:before="0" w:after="0"/>
        <w:ind w:left="1219" w:right="0" w:hanging="510"/>
        <w:jc w:val="left"/>
        <w:rPr>
          <w:color w:val="231F20"/>
        </w:rPr>
      </w:pPr>
      <w:r>
        <w:rPr>
          <w:color w:val="231F20"/>
          <w:spacing w:val="-2"/>
        </w:rPr>
        <w:t>Powierzchnie</w:t>
      </w:r>
    </w:p>
    <w:p>
      <w:pPr>
        <w:tabs>
          <w:tab w:pos="1673" w:val="left" w:leader="none"/>
        </w:tabs>
        <w:spacing w:before="174"/>
        <w:ind w:left="709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UWAGA</w:t>
      </w:r>
      <w:r>
        <w:rPr>
          <w:color w:val="231F20"/>
          <w:sz w:val="18"/>
        </w:rPr>
        <w:tab/>
        <w:t>Patrz Rysunek </w:t>
      </w:r>
      <w:r>
        <w:rPr>
          <w:color w:val="231F20"/>
          <w:spacing w:val="-5"/>
          <w:sz w:val="18"/>
        </w:rPr>
        <w:t>1.</w:t>
      </w:r>
    </w:p>
    <w:p>
      <w:pPr>
        <w:pStyle w:val="BodyText"/>
        <w:spacing w:before="63"/>
        <w:rPr>
          <w:sz w:val="18"/>
        </w:rPr>
      </w:pPr>
    </w:p>
    <w:p>
      <w:pPr>
        <w:pStyle w:val="Heading4"/>
        <w:numPr>
          <w:ilvl w:val="2"/>
          <w:numId w:val="3"/>
        </w:numPr>
        <w:tabs>
          <w:tab w:pos="1328" w:val="left" w:leader="none"/>
        </w:tabs>
        <w:spacing w:line="240" w:lineRule="auto" w:before="0" w:after="0"/>
        <w:ind w:left="1328" w:right="0" w:hanging="619"/>
        <w:jc w:val="left"/>
      </w:pPr>
      <w:r>
        <w:rPr>
          <w:color w:val="231F20"/>
        </w:rPr>
        <w:t>Zasady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obliczeń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0" w:after="0"/>
        <w:ind w:left="709" w:right="140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Pola powierzchni poziomych i pionowych określa się zgodnie z wymiarami rzeczywistymi. Powierzch- </w:t>
      </w:r>
      <w:r>
        <w:rPr>
          <w:color w:val="231F20"/>
          <w:spacing w:val="-8"/>
          <w:sz w:val="20"/>
        </w:rPr>
        <w:t>nię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płaszczyzn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nachylonych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mierzy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się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rzucie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umowną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płaszczyznę,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odpowiednio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poziomą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lub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pionową. </w:t>
      </w:r>
      <w:r>
        <w:rPr>
          <w:color w:val="231F20"/>
          <w:sz w:val="20"/>
        </w:rPr>
        <w:t>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obliczeń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zysków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lub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strat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ciepła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należy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przyjmować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rzeczywiste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powierzchni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przegród,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nie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ich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wy- miary na rzucie.</w:t>
      </w:r>
    </w:p>
    <w:p>
      <w:pPr>
        <w:pStyle w:val="BodyText"/>
        <w:spacing w:before="28"/>
      </w:pP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40" w:lineRule="auto" w:before="0" w:after="0"/>
        <w:ind w:left="1520" w:right="0" w:hanging="811"/>
        <w:jc w:val="left"/>
        <w:rPr>
          <w:sz w:val="20"/>
        </w:rPr>
      </w:pPr>
      <w:r>
        <w:rPr>
          <w:color w:val="231F20"/>
          <w:spacing w:val="-6"/>
          <w:sz w:val="20"/>
        </w:rPr>
        <w:t>Pole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powierzchni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podaje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się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w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metrach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kwadratowych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z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dokładnością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dwóch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miejsc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po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przecinku.</w:t>
      </w:r>
    </w:p>
    <w:p>
      <w:pPr>
        <w:pStyle w:val="BodyText"/>
        <w:spacing w:before="35"/>
      </w:pPr>
    </w:p>
    <w:p>
      <w:pPr>
        <w:pStyle w:val="Heading4"/>
        <w:numPr>
          <w:ilvl w:val="2"/>
          <w:numId w:val="3"/>
        </w:numPr>
        <w:tabs>
          <w:tab w:pos="1328" w:val="left" w:leader="none"/>
        </w:tabs>
        <w:spacing w:line="240" w:lineRule="auto" w:before="1" w:after="0"/>
        <w:ind w:left="1328" w:right="0" w:hanging="619"/>
        <w:jc w:val="left"/>
      </w:pPr>
      <w:r>
        <w:rPr>
          <w:color w:val="231F20"/>
        </w:rPr>
        <w:t>Powierzchnia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zabudowy</w:t>
      </w:r>
    </w:p>
    <w:p>
      <w:pPr>
        <w:pStyle w:val="BodyText"/>
        <w:spacing w:before="34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1" w:after="0"/>
        <w:ind w:left="709" w:right="140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Przez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powierzchnię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zabudowy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rozumie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się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powierzchnię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terenu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zajmowaną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przez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budynek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w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stanie </w:t>
      </w:r>
      <w:r>
        <w:rPr>
          <w:color w:val="231F20"/>
          <w:spacing w:val="-2"/>
          <w:sz w:val="20"/>
        </w:rPr>
        <w:t>wykończonym.</w:t>
      </w:r>
    </w:p>
    <w:p>
      <w:pPr>
        <w:pStyle w:val="BodyText"/>
        <w:spacing w:before="26"/>
      </w:pP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40" w:lineRule="auto" w:before="0" w:after="0"/>
        <w:ind w:left="1520" w:right="0" w:hanging="811"/>
        <w:jc w:val="left"/>
        <w:rPr>
          <w:sz w:val="20"/>
        </w:rPr>
      </w:pPr>
      <w:r>
        <w:rPr>
          <w:color w:val="231F20"/>
          <w:spacing w:val="-4"/>
          <w:sz w:val="20"/>
        </w:rPr>
        <w:t>Powierzchnię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zabudowy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wyznacza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się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przez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rzut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bryły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budynku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na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powierzchnię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terenu.</w:t>
      </w:r>
    </w:p>
    <w:p>
      <w:pPr>
        <w:pStyle w:val="BodyText"/>
        <w:spacing w:before="35"/>
      </w:pPr>
    </w:p>
    <w:p>
      <w:pPr>
        <w:pStyle w:val="BodyText"/>
        <w:spacing w:before="1"/>
        <w:ind w:left="709"/>
      </w:pP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powierzchni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zabudowy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nie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wlicza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się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powierzchni:</w:t>
      </w:r>
    </w:p>
    <w:p>
      <w:pPr>
        <w:pStyle w:val="ListParagraph"/>
        <w:numPr>
          <w:ilvl w:val="4"/>
          <w:numId w:val="3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pacing w:val="-8"/>
          <w:sz w:val="20"/>
        </w:rPr>
        <w:t>elementów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8"/>
          <w:sz w:val="20"/>
        </w:rPr>
        <w:t>budynku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8"/>
          <w:sz w:val="20"/>
        </w:rPr>
        <w:t>ani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8"/>
          <w:sz w:val="20"/>
        </w:rPr>
        <w:t>ich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8"/>
          <w:sz w:val="20"/>
        </w:rPr>
        <w:t>części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8"/>
          <w:sz w:val="20"/>
        </w:rPr>
        <w:t>niewystających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8"/>
          <w:sz w:val="20"/>
        </w:rPr>
        <w:t>ponad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8"/>
          <w:sz w:val="20"/>
        </w:rPr>
        <w:t>powierzchnię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8"/>
          <w:sz w:val="20"/>
        </w:rPr>
        <w:t>terenu;</w:t>
      </w:r>
    </w:p>
    <w:p>
      <w:pPr>
        <w:pStyle w:val="ListParagraph"/>
        <w:numPr>
          <w:ilvl w:val="4"/>
          <w:numId w:val="3"/>
        </w:numPr>
        <w:tabs>
          <w:tab w:pos="1049" w:val="left" w:leader="none"/>
        </w:tabs>
        <w:spacing w:line="249" w:lineRule="auto" w:before="180" w:after="0"/>
        <w:ind w:left="1049" w:right="140" w:hanging="341"/>
        <w:jc w:val="left"/>
        <w:rPr>
          <w:sz w:val="20"/>
        </w:rPr>
      </w:pPr>
      <w:r>
        <w:rPr>
          <w:color w:val="231F20"/>
          <w:spacing w:val="-4"/>
          <w:sz w:val="20"/>
        </w:rPr>
        <w:t>elementów drugorzędnych budynku, np. schodów zewnętrznych, ramp i pochylni zewnętrznych, daszków, </w:t>
      </w:r>
      <w:r>
        <w:rPr>
          <w:color w:val="231F20"/>
          <w:sz w:val="20"/>
        </w:rPr>
        <w:t>markiz,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okapów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dachowych,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oświetlenia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zewnętrznego;</w:t>
      </w:r>
    </w:p>
    <w:p>
      <w:pPr>
        <w:pStyle w:val="ListParagraph"/>
        <w:numPr>
          <w:ilvl w:val="4"/>
          <w:numId w:val="3"/>
        </w:numPr>
        <w:tabs>
          <w:tab w:pos="1049" w:val="left" w:leader="none"/>
        </w:tabs>
        <w:spacing w:line="240" w:lineRule="auto" w:before="172" w:after="0"/>
        <w:ind w:left="1049" w:right="0" w:hanging="340"/>
        <w:jc w:val="left"/>
        <w:rPr>
          <w:sz w:val="20"/>
        </w:rPr>
      </w:pPr>
      <w:r>
        <w:rPr>
          <w:color w:val="231F20"/>
          <w:spacing w:val="-2"/>
          <w:sz w:val="20"/>
        </w:rPr>
        <w:t>zewnętrznych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obiektów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pomocniczych,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np.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szklarni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przybudówek.</w:t>
      </w:r>
    </w:p>
    <w:p>
      <w:pPr>
        <w:pStyle w:val="BodyText"/>
        <w:spacing w:before="6"/>
      </w:pPr>
    </w:p>
    <w:p>
      <w:pPr>
        <w:pStyle w:val="Heading4"/>
        <w:numPr>
          <w:ilvl w:val="2"/>
          <w:numId w:val="3"/>
        </w:numPr>
        <w:tabs>
          <w:tab w:pos="1328" w:val="left" w:leader="none"/>
        </w:tabs>
        <w:spacing w:line="240" w:lineRule="auto" w:before="0" w:after="0"/>
        <w:ind w:left="1328" w:right="0" w:hanging="619"/>
        <w:jc w:val="left"/>
      </w:pPr>
      <w:r>
        <w:rPr>
          <w:color w:val="231F20"/>
        </w:rPr>
        <w:t>Powierzchnia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całkowita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0" w:after="0"/>
        <w:ind w:left="709" w:right="140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>Powierzchnia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całkowita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budynku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jest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sumą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powierzchni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całkowitych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wszystkich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kondygnacji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budynku. </w:t>
      </w:r>
      <w:r>
        <w:rPr>
          <w:color w:val="231F20"/>
          <w:w w:val="90"/>
          <w:sz w:val="20"/>
        </w:rPr>
        <w:t>Jako kondygnacja mogą być traktowane kondygnacje znajdujące się całkowicie lub częściowo poniżej poziomu </w:t>
      </w:r>
      <w:r>
        <w:rPr>
          <w:color w:val="231F20"/>
          <w:sz w:val="20"/>
        </w:rPr>
        <w:t>terenu,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kondygnacje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powyżej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poziomu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terenu,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poddasza,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tarasy,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tarasy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dachach,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oraz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kondygnacje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tech- niczne lub kondygnacje magazynowe (patrz Rysunek 1).</w:t>
      </w:r>
    </w:p>
    <w:p>
      <w:pPr>
        <w:pStyle w:val="BodyText"/>
      </w:pPr>
    </w:p>
    <w:p>
      <w:pPr>
        <w:pStyle w:val="BodyText"/>
        <w:ind w:left="709"/>
      </w:pPr>
      <w:r>
        <w:rPr>
          <w:color w:val="231F20"/>
          <w:spacing w:val="-4"/>
        </w:rPr>
        <w:t>Konieczne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jest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rozróżnianie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powierzchni:</w:t>
      </w:r>
    </w:p>
    <w:p>
      <w:pPr>
        <w:pStyle w:val="ListParagraph"/>
        <w:numPr>
          <w:ilvl w:val="0"/>
          <w:numId w:val="6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pacing w:val="-2"/>
          <w:sz w:val="20"/>
        </w:rPr>
        <w:t>zamkniętych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ze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wszystkich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stron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stałymi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przegrodami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budowlanymi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przekrytych;</w:t>
      </w:r>
    </w:p>
    <w:p>
      <w:pPr>
        <w:pStyle w:val="ListParagraph"/>
        <w:numPr>
          <w:ilvl w:val="0"/>
          <w:numId w:val="6"/>
        </w:numPr>
        <w:tabs>
          <w:tab w:pos="1047" w:val="left" w:leader="none"/>
          <w:tab w:pos="1049" w:val="left" w:leader="none"/>
        </w:tabs>
        <w:spacing w:line="249" w:lineRule="auto" w:before="180" w:after="0"/>
        <w:ind w:left="1049" w:right="140" w:hanging="341"/>
        <w:jc w:val="left"/>
        <w:rPr>
          <w:sz w:val="20"/>
        </w:rPr>
      </w:pPr>
      <w:r>
        <w:rPr>
          <w:color w:val="231F20"/>
          <w:spacing w:val="-2"/>
          <w:sz w:val="20"/>
        </w:rPr>
        <w:t>niezamkniętych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ze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wszystkich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stron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stałymi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przegrodami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budowlanymi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ich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pełnej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wysokości,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lecz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prze- </w:t>
      </w:r>
      <w:r>
        <w:rPr>
          <w:color w:val="231F20"/>
          <w:sz w:val="20"/>
        </w:rPr>
        <w:t>krytych, na przykład loggie, oraz</w:t>
      </w:r>
    </w:p>
    <w:p>
      <w:pPr>
        <w:pStyle w:val="ListParagraph"/>
        <w:numPr>
          <w:ilvl w:val="0"/>
          <w:numId w:val="6"/>
        </w:numPr>
        <w:tabs>
          <w:tab w:pos="1047" w:val="left" w:leader="none"/>
          <w:tab w:pos="1049" w:val="left" w:leader="none"/>
        </w:tabs>
        <w:spacing w:line="249" w:lineRule="auto" w:before="172" w:after="0"/>
        <w:ind w:left="1049" w:right="137" w:hanging="341"/>
        <w:jc w:val="left"/>
        <w:rPr>
          <w:sz w:val="20"/>
        </w:rPr>
      </w:pPr>
      <w:r>
        <w:rPr>
          <w:color w:val="231F20"/>
          <w:spacing w:val="-4"/>
          <w:sz w:val="20"/>
        </w:rPr>
        <w:t>ograniczonych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innymi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elementami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budowlanymi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(np.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balustradami,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osłonami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zabezpieczającymi,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poręczami), </w:t>
      </w:r>
      <w:r>
        <w:rPr>
          <w:color w:val="231F20"/>
          <w:sz w:val="20"/>
        </w:rPr>
        <w:t>lecz nie przekrytych, na przykład balkony.</w:t>
      </w:r>
    </w:p>
    <w:p>
      <w:pPr>
        <w:pStyle w:val="ListParagraph"/>
        <w:spacing w:after="0" w:line="249" w:lineRule="auto"/>
        <w:jc w:val="left"/>
        <w:rPr>
          <w:sz w:val="20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BodyText"/>
        <w:spacing w:before="117"/>
      </w:pPr>
    </w:p>
    <w:p>
      <w:pPr>
        <w:pStyle w:val="BodyText"/>
        <w:ind w:left="1942"/>
      </w:pPr>
      <w:r>
        <w:rPr/>
        <w:drawing>
          <wp:inline distT="0" distB="0" distL="0" distR="0">
            <wp:extent cx="3877056" cy="3858767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385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0"/>
        <w:rPr>
          <w:sz w:val="18"/>
        </w:rPr>
      </w:pPr>
    </w:p>
    <w:p>
      <w:pPr>
        <w:spacing w:before="1"/>
        <w:ind w:left="14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7"/>
        </w:numPr>
        <w:tabs>
          <w:tab w:pos="482" w:val="left" w:leader="none"/>
        </w:tabs>
        <w:spacing w:line="240" w:lineRule="auto" w:before="69" w:after="0"/>
        <w:ind w:left="482" w:right="0" w:hanging="340"/>
        <w:jc w:val="left"/>
        <w:rPr>
          <w:sz w:val="18"/>
        </w:rPr>
      </w:pPr>
      <w:r>
        <w:rPr>
          <w:color w:val="231F20"/>
          <w:sz w:val="18"/>
        </w:rPr>
        <w:t>powierzchnia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całkowita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(patrz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5.1.3)</w:t>
      </w:r>
    </w:p>
    <w:p>
      <w:pPr>
        <w:pStyle w:val="ListParagraph"/>
        <w:numPr>
          <w:ilvl w:val="0"/>
          <w:numId w:val="7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4"/>
          <w:sz w:val="18"/>
        </w:rPr>
        <w:t>powierzchnia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4"/>
          <w:sz w:val="18"/>
        </w:rPr>
        <w:t>wewnętrzna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(patrz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5.1.4)</w:t>
      </w:r>
    </w:p>
    <w:p>
      <w:pPr>
        <w:pStyle w:val="ListParagraph"/>
        <w:numPr>
          <w:ilvl w:val="0"/>
          <w:numId w:val="7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4"/>
          <w:sz w:val="18"/>
        </w:rPr>
        <w:t>powierzchnia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użytkowa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(patrz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5.1.7)</w:t>
      </w:r>
    </w:p>
    <w:p>
      <w:pPr>
        <w:pStyle w:val="ListParagraph"/>
        <w:numPr>
          <w:ilvl w:val="0"/>
          <w:numId w:val="7"/>
        </w:numPr>
        <w:tabs>
          <w:tab w:pos="482" w:val="left" w:leader="none"/>
        </w:tabs>
        <w:spacing w:line="240" w:lineRule="auto" w:before="69" w:after="0"/>
        <w:ind w:left="482" w:right="0" w:hanging="340"/>
        <w:jc w:val="left"/>
        <w:rPr>
          <w:sz w:val="18"/>
        </w:rPr>
      </w:pPr>
      <w:r>
        <w:rPr>
          <w:color w:val="231F20"/>
          <w:sz w:val="18"/>
        </w:rPr>
        <w:t>powierzchnia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konstrukcji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(patrz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5.1.6)</w:t>
      </w:r>
    </w:p>
    <w:p>
      <w:pPr>
        <w:pStyle w:val="ListParagraph"/>
        <w:numPr>
          <w:ilvl w:val="0"/>
          <w:numId w:val="7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z w:val="18"/>
        </w:rPr>
        <w:t>powierzchnia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zabudowy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(patrz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5.1.2)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spacing w:before="1"/>
        <w:ind w:left="2560"/>
      </w:pPr>
      <w:r>
        <w:rPr>
          <w:color w:val="231F20"/>
        </w:rPr>
        <w:t>Rysunek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Ilustracja</w:t>
      </w:r>
      <w:r>
        <w:rPr>
          <w:color w:val="231F20"/>
          <w:spacing w:val="-3"/>
        </w:rPr>
        <w:t> </w:t>
      </w:r>
      <w:r>
        <w:rPr>
          <w:color w:val="231F20"/>
        </w:rPr>
        <w:t>podstawowych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powierzchni</w:t>
      </w:r>
    </w:p>
    <w:p>
      <w:pPr>
        <w:pStyle w:val="BodyText"/>
        <w:spacing w:before="34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953" w:val="left" w:leader="none"/>
        </w:tabs>
        <w:spacing w:line="249" w:lineRule="auto" w:before="1" w:after="0"/>
        <w:ind w:left="142" w:right="707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Powierzchnia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całkowita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każdej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kondygnacji,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poniżej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powyżej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poziomu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terenu,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mierzona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jest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po- </w:t>
      </w:r>
      <w:r>
        <w:rPr>
          <w:color w:val="231F20"/>
          <w:sz w:val="20"/>
        </w:rPr>
        <w:t>ziomie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posadzki,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obrysie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zewnętrznym.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Uwzględnia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się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tynki,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okładziny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balustrady.</w:t>
      </w:r>
    </w:p>
    <w:p>
      <w:pPr>
        <w:pStyle w:val="BodyText"/>
        <w:spacing w:before="26"/>
      </w:pPr>
    </w:p>
    <w:p>
      <w:pPr>
        <w:pStyle w:val="BodyText"/>
        <w:spacing w:line="249" w:lineRule="auto"/>
        <w:ind w:left="142" w:right="707"/>
        <w:jc w:val="both"/>
      </w:pPr>
      <w:r>
        <w:rPr>
          <w:color w:val="231F20"/>
          <w:spacing w:val="-2"/>
        </w:rPr>
        <w:t>Wnęk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pilastrów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wynikających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z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uwarunkowań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konstrukcyjnych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lub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estetycznych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oraz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wyprofilowania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innego </w:t>
      </w:r>
      <w:r>
        <w:rPr>
          <w:color w:val="231F20"/>
          <w:spacing w:val="-4"/>
        </w:rPr>
        <w:t>typu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nie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wlicza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się,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jeżeli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nie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zmieniają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one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powierzchni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netto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kondygnacji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(patrz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5.1.5).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Kondygnacje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przekryte, </w:t>
      </w:r>
      <w:r>
        <w:rPr>
          <w:color w:val="231F20"/>
          <w:w w:val="90"/>
        </w:rPr>
        <w:t>które nie są zamknięte stałymi przegrodami budowlanymi lub są jedynie częściowo zamknięte (np. powierzchnie </w:t>
      </w:r>
      <w:r>
        <w:rPr>
          <w:color w:val="231F20"/>
        </w:rPr>
        <w:t>zgodne z 5.1.3.1 b)) oblicza się z obrysu rzutu przekrycia.</w:t>
      </w:r>
    </w:p>
    <w:p>
      <w:pPr>
        <w:pStyle w:val="BodyText"/>
        <w:spacing w:before="29"/>
      </w:pPr>
    </w:p>
    <w:p>
      <w:pPr>
        <w:pStyle w:val="BodyText"/>
        <w:ind w:left="142"/>
      </w:pPr>
      <w:r>
        <w:rPr>
          <w:color w:val="231F20"/>
          <w:spacing w:val="-4"/>
        </w:rPr>
        <w:t>Powierzchni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netto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nie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określa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się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dla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(patrz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5.1.5.4):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w w:val="90"/>
          <w:sz w:val="20"/>
        </w:rPr>
        <w:t>przestrzeni</w:t>
      </w:r>
      <w:r>
        <w:rPr>
          <w:color w:val="231F20"/>
          <w:spacing w:val="8"/>
          <w:sz w:val="20"/>
        </w:rPr>
        <w:t> </w:t>
      </w:r>
      <w:r>
        <w:rPr>
          <w:color w:val="231F20"/>
          <w:w w:val="90"/>
          <w:sz w:val="20"/>
        </w:rPr>
        <w:t>między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90"/>
          <w:sz w:val="20"/>
        </w:rPr>
        <w:t>powierzchnią</w:t>
      </w:r>
      <w:r>
        <w:rPr>
          <w:color w:val="231F20"/>
          <w:spacing w:val="8"/>
          <w:sz w:val="20"/>
        </w:rPr>
        <w:t> </w:t>
      </w:r>
      <w:r>
        <w:rPr>
          <w:color w:val="231F20"/>
          <w:w w:val="90"/>
          <w:sz w:val="20"/>
        </w:rPr>
        <w:t>terenu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8"/>
          <w:sz w:val="20"/>
        </w:rPr>
        <w:t> </w:t>
      </w:r>
      <w:r>
        <w:rPr>
          <w:color w:val="231F20"/>
          <w:w w:val="90"/>
          <w:sz w:val="20"/>
        </w:rPr>
        <w:t>dolną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90"/>
          <w:sz w:val="20"/>
        </w:rPr>
        <w:t>częścią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90"/>
          <w:sz w:val="20"/>
        </w:rPr>
        <w:t>budynku,</w:t>
      </w:r>
      <w:r>
        <w:rPr>
          <w:color w:val="231F20"/>
          <w:spacing w:val="8"/>
          <w:sz w:val="20"/>
        </w:rPr>
        <w:t> </w:t>
      </w:r>
      <w:r>
        <w:rPr>
          <w:color w:val="231F20"/>
          <w:w w:val="90"/>
          <w:sz w:val="20"/>
        </w:rPr>
        <w:t>np.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90"/>
          <w:sz w:val="20"/>
        </w:rPr>
        <w:t>kanałów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2"/>
          <w:w w:val="90"/>
          <w:sz w:val="20"/>
        </w:rPr>
        <w:t>przełazowych;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przestrzeni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wewnętrznej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4"/>
          <w:sz w:val="20"/>
        </w:rPr>
        <w:t>stropodachów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4"/>
          <w:sz w:val="20"/>
        </w:rPr>
        <w:t>wentylowanych;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9" w:lineRule="auto" w:before="180" w:after="0"/>
        <w:ind w:left="482" w:right="706" w:hanging="341"/>
        <w:jc w:val="left"/>
        <w:rPr>
          <w:sz w:val="20"/>
        </w:rPr>
      </w:pPr>
      <w:r>
        <w:rPr>
          <w:color w:val="231F20"/>
          <w:spacing w:val="-2"/>
          <w:sz w:val="20"/>
        </w:rPr>
        <w:t>poddaszy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nieprzystosowanych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poruszania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się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innego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niż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wynikającego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z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konieczności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utrzymania, </w:t>
      </w:r>
      <w:r>
        <w:rPr>
          <w:color w:val="231F20"/>
          <w:sz w:val="20"/>
        </w:rPr>
        <w:t>konserwacji i napraw.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953" w:val="left" w:leader="none"/>
        </w:tabs>
        <w:spacing w:line="249" w:lineRule="auto" w:before="0" w:after="0"/>
        <w:ind w:left="142" w:right="707" w:firstLine="0"/>
        <w:jc w:val="left"/>
        <w:rPr>
          <w:sz w:val="20"/>
        </w:rPr>
      </w:pPr>
      <w:r>
        <w:rPr>
          <w:color w:val="231F20"/>
          <w:spacing w:val="-4"/>
          <w:sz w:val="20"/>
        </w:rPr>
        <w:t>Powierzchnię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całkowitą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oblicza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się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oddzielnie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dla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każdej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kondygnacji.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Powierzchnie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w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obrębie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kon- dygnacji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zróżnicowanej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wysokości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(np.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duże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hole,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audytoria)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także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oblicza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się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oddzielnie.</w:t>
      </w:r>
    </w:p>
    <w:p>
      <w:pPr>
        <w:pStyle w:val="ListParagraph"/>
        <w:spacing w:after="0" w:line="249" w:lineRule="auto"/>
        <w:jc w:val="left"/>
        <w:rPr>
          <w:sz w:val="20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229" w:after="0"/>
        <w:ind w:left="709" w:right="140" w:firstLine="0"/>
        <w:jc w:val="both"/>
        <w:rPr>
          <w:sz w:val="20"/>
        </w:rPr>
      </w:pPr>
      <w:bookmarkStart w:name="5.1.4 Powierzchnia wewnętrzna" w:id="21"/>
      <w:bookmarkEnd w:id="21"/>
      <w:r>
        <w:rPr/>
      </w:r>
      <w:bookmarkStart w:name="5.1.5 Powierzchnia netto " w:id="22"/>
      <w:bookmarkEnd w:id="22"/>
      <w:r>
        <w:rPr/>
      </w:r>
      <w:bookmarkStart w:name="_bookmark5" w:id="23"/>
      <w:bookmarkEnd w:id="23"/>
      <w:r>
        <w:rPr/>
      </w:r>
      <w:r>
        <w:rPr>
          <w:color w:val="231F20"/>
          <w:sz w:val="20"/>
        </w:rPr>
        <w:t>Jeżeli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powierzchnie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poszczególnych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będą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dodawane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siebie,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różne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rodzaje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po- </w:t>
      </w:r>
      <w:r>
        <w:rPr>
          <w:color w:val="231F20"/>
          <w:spacing w:val="-6"/>
          <w:sz w:val="20"/>
        </w:rPr>
        <w:t>wierzchni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(zgodnie z 5.1.3</w:t>
      </w:r>
      <w:r>
        <w:rPr>
          <w:color w:val="231F20"/>
          <w:spacing w:val="-6"/>
          <w:sz w:val="20"/>
          <w:vertAlign w:val="superscript"/>
        </w:rPr>
        <w:t>N1)</w:t>
      </w:r>
      <w:r>
        <w:rPr>
          <w:color w:val="231F20"/>
          <w:spacing w:val="-6"/>
          <w:sz w:val="20"/>
          <w:vertAlign w:val="baseline"/>
        </w:rPr>
        <w:t>)</w:t>
      </w:r>
      <w:r>
        <w:rPr>
          <w:color w:val="231F20"/>
          <w:spacing w:val="-8"/>
          <w:sz w:val="20"/>
          <w:vertAlign w:val="baseline"/>
        </w:rPr>
        <w:t> </w:t>
      </w:r>
      <w:r>
        <w:rPr>
          <w:color w:val="231F20"/>
          <w:spacing w:val="-6"/>
          <w:sz w:val="20"/>
          <w:vertAlign w:val="baseline"/>
        </w:rPr>
        <w:t>należy wyodrębnić, aby umożliwić ocenę, porównywanie i oddzielne obliczanie </w:t>
      </w:r>
      <w:r>
        <w:rPr>
          <w:color w:val="231F20"/>
          <w:spacing w:val="-2"/>
          <w:sz w:val="20"/>
          <w:vertAlign w:val="baseline"/>
        </w:rPr>
        <w:t>kubatur.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0" w:after="0"/>
        <w:ind w:left="709" w:right="140" w:firstLine="0"/>
        <w:jc w:val="both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całkowita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składa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się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powierzchni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(patrz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5.1.5)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powierzchni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zajętej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przez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kon- strukcję (patrz 5.1.6), co przedstawiono na Rysunku 2.</w:t>
      </w:r>
    </w:p>
    <w:p>
      <w:pPr>
        <w:pStyle w:val="BodyText"/>
        <w:spacing w:before="46"/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902849</wp:posOffset>
            </wp:positionH>
            <wp:positionV relativeFrom="paragraph">
              <wp:posOffset>190486</wp:posOffset>
            </wp:positionV>
            <wp:extent cx="6118869" cy="2479548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9" cy="247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3"/>
      </w:pPr>
    </w:p>
    <w:p>
      <w:pPr>
        <w:pStyle w:val="Heading4"/>
        <w:spacing w:before="1"/>
        <w:ind w:left="1866"/>
      </w:pPr>
      <w:r>
        <w:rPr>
          <w:color w:val="231F20"/>
        </w:rPr>
        <w:t>Rysunek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Rodzaje</w:t>
      </w:r>
      <w:r>
        <w:rPr>
          <w:color w:val="231F20"/>
          <w:spacing w:val="-2"/>
        </w:rPr>
        <w:t> </w:t>
      </w:r>
      <w:r>
        <w:rPr>
          <w:color w:val="231F20"/>
        </w:rPr>
        <w:t>powierzchni</w:t>
      </w:r>
      <w:r>
        <w:rPr>
          <w:color w:val="231F20"/>
          <w:spacing w:val="-3"/>
        </w:rPr>
        <w:t> </w:t>
      </w:r>
      <w:r>
        <w:rPr>
          <w:color w:val="231F20"/>
        </w:rPr>
        <w:t>wchodzące</w:t>
      </w:r>
      <w:r>
        <w:rPr>
          <w:color w:val="231F20"/>
          <w:spacing w:val="-2"/>
        </w:rPr>
        <w:t> </w:t>
      </w:r>
      <w:r>
        <w:rPr>
          <w:color w:val="231F20"/>
        </w:rPr>
        <w:t>w</w:t>
      </w:r>
      <w:r>
        <w:rPr>
          <w:color w:val="231F20"/>
          <w:spacing w:val="-2"/>
        </w:rPr>
        <w:t> </w:t>
      </w:r>
      <w:r>
        <w:rPr>
          <w:color w:val="231F20"/>
        </w:rPr>
        <w:t>skład</w:t>
      </w:r>
      <w:r>
        <w:rPr>
          <w:color w:val="231F20"/>
          <w:spacing w:val="-2"/>
        </w:rPr>
        <w:t> </w:t>
      </w:r>
      <w:r>
        <w:rPr>
          <w:color w:val="231F20"/>
        </w:rPr>
        <w:t>powierzchni</w:t>
      </w:r>
      <w:r>
        <w:rPr>
          <w:color w:val="231F20"/>
          <w:spacing w:val="-2"/>
        </w:rPr>
        <w:t> całkowitej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Heading4"/>
        <w:numPr>
          <w:ilvl w:val="2"/>
          <w:numId w:val="3"/>
        </w:numPr>
        <w:tabs>
          <w:tab w:pos="1328" w:val="left" w:leader="none"/>
        </w:tabs>
        <w:spacing w:line="240" w:lineRule="auto" w:before="0" w:after="0"/>
        <w:ind w:left="1328" w:right="0" w:hanging="619"/>
        <w:jc w:val="both"/>
      </w:pPr>
      <w:r>
        <w:rPr>
          <w:color w:val="231F20"/>
        </w:rPr>
        <w:t>Powierzchnia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wewnętrzna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11" w:val="left" w:leader="none"/>
        </w:tabs>
        <w:spacing w:line="249" w:lineRule="auto" w:before="0" w:after="0"/>
        <w:ind w:left="709" w:right="139" w:firstLine="0"/>
        <w:jc w:val="both"/>
        <w:rPr>
          <w:sz w:val="20"/>
        </w:rPr>
      </w:pPr>
      <w:r>
        <w:rPr>
          <w:color w:val="231F20"/>
          <w:w w:val="90"/>
          <w:sz w:val="20"/>
        </w:rPr>
        <w:t>Powierzchnia wewnętrzna jest powierzchnią całkowitą (patrz 5.1.3) zmniejszoną o powierzchnię zajętą </w:t>
      </w:r>
      <w:r>
        <w:rPr>
          <w:color w:val="231F20"/>
          <w:spacing w:val="-2"/>
          <w:sz w:val="20"/>
        </w:rPr>
        <w:t>przez ściany zewnętrzne (powierzchnia zajęta przez elementy obudowy budynku).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1497" w:val="left" w:leader="none"/>
        </w:tabs>
        <w:spacing w:line="249" w:lineRule="auto" w:before="0" w:after="0"/>
        <w:ind w:left="709" w:right="140" w:firstLine="0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Powierzchnię wewnętrzną określa się oddzielnie dla każdej kondygnacji. Powierzchnię całkowitą oblicza </w:t>
      </w:r>
      <w:r>
        <w:rPr>
          <w:color w:val="231F20"/>
          <w:w w:val="90"/>
          <w:sz w:val="20"/>
        </w:rPr>
        <w:t>się zgodnie z 5.1.3, a powierzchnię zajętą przez ściany zewnętrzne zgodnie z 5.1.6. Powierzchnię wewnętrzną </w:t>
      </w:r>
      <w:r>
        <w:rPr>
          <w:color w:val="231F20"/>
          <w:spacing w:val="-4"/>
          <w:sz w:val="20"/>
        </w:rPr>
        <w:t>otrzymuje się przez odjęcie powierzchni zajętej przez ściany zewnętrzne od powierzchni całkowitej.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0" w:after="0"/>
        <w:ind w:left="709" w:right="140" w:firstLine="0"/>
        <w:jc w:val="both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wewnętrzna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składa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się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powierzchni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(patrz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5.1.5)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powierzchni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zajętej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przez przegrody wewnętrzne.</w:t>
      </w:r>
    </w:p>
    <w:p>
      <w:pPr>
        <w:pStyle w:val="BodyText"/>
        <w:spacing w:before="27"/>
      </w:pPr>
    </w:p>
    <w:p>
      <w:pPr>
        <w:pStyle w:val="Heading4"/>
        <w:numPr>
          <w:ilvl w:val="2"/>
          <w:numId w:val="3"/>
        </w:numPr>
        <w:tabs>
          <w:tab w:pos="1328" w:val="left" w:leader="none"/>
        </w:tabs>
        <w:spacing w:line="240" w:lineRule="auto" w:before="0" w:after="0"/>
        <w:ind w:left="1328" w:right="0" w:hanging="619"/>
        <w:jc w:val="both"/>
      </w:pPr>
      <w:r>
        <w:rPr>
          <w:color w:val="231F20"/>
        </w:rPr>
        <w:t>Powierzchnia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netto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49" w:lineRule="auto" w:before="0" w:after="0"/>
        <w:ind w:left="709" w:right="139" w:firstLine="0"/>
        <w:jc w:val="both"/>
        <w:rPr>
          <w:sz w:val="20"/>
        </w:rPr>
      </w:pPr>
      <w:r>
        <w:rPr>
          <w:color w:val="231F20"/>
          <w:sz w:val="20"/>
        </w:rPr>
        <w:t>Powierzchnia netto jest powierzchnią ograniczoną przez elementy zamykające w postaci stałych przegród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budowlanych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inne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elementy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ograniczające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(patrz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także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5.1.3.2).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0" w:after="0"/>
        <w:ind w:left="709" w:right="140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>Powierzchnię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netto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określa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się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oddzielnie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dla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każdej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kondygnacji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dzieli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zgodnie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z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5.1.3.1.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Jest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ona </w:t>
      </w:r>
      <w:r>
        <w:rPr>
          <w:color w:val="231F20"/>
          <w:sz w:val="20"/>
        </w:rPr>
        <w:t>obliczana z wymiarów budynku w stanie wykończonym, na poziomie posadzki, z wyłączeniem powierzchni listew przypodłogowych, progów itp.</w:t>
      </w:r>
    </w:p>
    <w:p>
      <w:pPr>
        <w:pStyle w:val="BodyText"/>
        <w:spacing w:before="27"/>
      </w:pPr>
    </w:p>
    <w:p>
      <w:pPr>
        <w:pStyle w:val="BodyText"/>
        <w:spacing w:line="249" w:lineRule="auto" w:before="1"/>
        <w:ind w:left="709" w:right="140"/>
        <w:jc w:val="both"/>
      </w:pPr>
      <w:r>
        <w:rPr>
          <w:color w:val="231F20"/>
        </w:rPr>
        <w:t>Powierzchnię</w:t>
      </w:r>
      <w:r>
        <w:rPr>
          <w:color w:val="231F20"/>
          <w:spacing w:val="-4"/>
        </w:rPr>
        <w:t> </w:t>
      </w:r>
      <w:r>
        <w:rPr>
          <w:color w:val="231F20"/>
        </w:rPr>
        <w:t>netto</w:t>
      </w:r>
      <w:r>
        <w:rPr>
          <w:color w:val="231F20"/>
          <w:spacing w:val="-4"/>
        </w:rPr>
        <w:t> </w:t>
      </w:r>
      <w:r>
        <w:rPr>
          <w:color w:val="231F20"/>
        </w:rPr>
        <w:t>kondygnacji</w:t>
      </w:r>
      <w:r>
        <w:rPr>
          <w:color w:val="231F20"/>
          <w:spacing w:val="-4"/>
        </w:rPr>
        <w:t> </w:t>
      </w:r>
      <w:r>
        <w:rPr>
          <w:color w:val="231F20"/>
        </w:rPr>
        <w:t>przekrytych,</w:t>
      </w:r>
      <w:r>
        <w:rPr>
          <w:color w:val="231F20"/>
          <w:spacing w:val="-4"/>
        </w:rPr>
        <w:t> </w:t>
      </w:r>
      <w:r>
        <w:rPr>
          <w:color w:val="231F20"/>
        </w:rPr>
        <w:t>które</w:t>
      </w:r>
      <w:r>
        <w:rPr>
          <w:color w:val="231F20"/>
          <w:spacing w:val="-4"/>
        </w:rPr>
        <w:t> </w:t>
      </w:r>
      <w:r>
        <w:rPr>
          <w:color w:val="231F20"/>
        </w:rPr>
        <w:t>nie</w:t>
      </w:r>
      <w:r>
        <w:rPr>
          <w:color w:val="231F20"/>
          <w:spacing w:val="-4"/>
        </w:rPr>
        <w:t> </w:t>
      </w:r>
      <w:r>
        <w:rPr>
          <w:color w:val="231F20"/>
        </w:rPr>
        <w:t>są</w:t>
      </w:r>
      <w:r>
        <w:rPr>
          <w:color w:val="231F20"/>
          <w:spacing w:val="-4"/>
        </w:rPr>
        <w:t> </w:t>
      </w:r>
      <w:r>
        <w:rPr>
          <w:color w:val="231F20"/>
        </w:rPr>
        <w:t>zamknięte</w:t>
      </w:r>
      <w:r>
        <w:rPr>
          <w:color w:val="231F20"/>
          <w:spacing w:val="-4"/>
        </w:rPr>
        <w:t> </w:t>
      </w:r>
      <w:r>
        <w:rPr>
          <w:color w:val="231F20"/>
        </w:rPr>
        <w:t>stałymi</w:t>
      </w:r>
      <w:r>
        <w:rPr>
          <w:color w:val="231F20"/>
          <w:spacing w:val="-4"/>
        </w:rPr>
        <w:t> </w:t>
      </w:r>
      <w:r>
        <w:rPr>
          <w:color w:val="231F20"/>
        </w:rPr>
        <w:t>przegrodami</w:t>
      </w:r>
      <w:r>
        <w:rPr>
          <w:color w:val="231F20"/>
          <w:spacing w:val="-4"/>
        </w:rPr>
        <w:t> </w:t>
      </w:r>
      <w:r>
        <w:rPr>
          <w:color w:val="231F20"/>
        </w:rPr>
        <w:t>budowlanymi</w:t>
      </w:r>
      <w:r>
        <w:rPr>
          <w:color w:val="231F20"/>
          <w:spacing w:val="-4"/>
        </w:rPr>
        <w:t> </w:t>
      </w:r>
      <w:r>
        <w:rPr>
          <w:color w:val="231F20"/>
        </w:rPr>
        <w:t>lub </w:t>
      </w:r>
      <w:r>
        <w:rPr>
          <w:color w:val="231F20"/>
          <w:spacing w:val="-4"/>
        </w:rPr>
        <w:t>są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jedynie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częściowo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zamknięte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(powierzchnie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zgodne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5.1.3.1b)),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oblicza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się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obrysu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rzutu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przekrycia.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Po- </w:t>
      </w:r>
      <w:r>
        <w:rPr>
          <w:color w:val="231F20"/>
          <w:spacing w:val="-6"/>
        </w:rPr>
        <w:t>wierzchnie w obrębie kondygnacji o zróżnicowanej wysokości (np. duże hole, audytoria) oblicza się oddzielnie.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0" w:after="0"/>
        <w:ind w:left="709" w:right="140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Do powierzchni netto wliczane są także powierzchnie zajęte przez elementy możliwe do zdemonto- </w:t>
      </w:r>
      <w:r>
        <w:rPr>
          <w:color w:val="231F20"/>
          <w:sz w:val="20"/>
        </w:rPr>
        <w:t>wania, takie jak ściany działowe typu przepierzenia, rury, przewody.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0" w:after="0"/>
        <w:ind w:left="709" w:right="140" w:firstLine="0"/>
        <w:jc w:val="both"/>
        <w:rPr>
          <w:sz w:val="20"/>
        </w:rPr>
      </w:pPr>
      <w:r>
        <w:rPr>
          <w:color w:val="231F20"/>
          <w:sz w:val="20"/>
        </w:rPr>
        <w:t>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powierzchni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nie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wlicza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się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powierzchni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zajętych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przez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stałe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przegrody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budowlane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oraz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po- wierzchnie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przejść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drzwiowych,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otworów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okiennych,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wnęk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nisz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tych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przegrodach.</w:t>
      </w:r>
    </w:p>
    <w:p>
      <w:pPr>
        <w:pStyle w:val="BodyText"/>
        <w:spacing w:before="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899999</wp:posOffset>
                </wp:positionH>
                <wp:positionV relativeFrom="paragraph">
                  <wp:posOffset>172758</wp:posOffset>
                </wp:positionV>
                <wp:extent cx="1080770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080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770" h="0">
                              <a:moveTo>
                                <a:pt x="0" y="0"/>
                              </a:moveTo>
                              <a:lnTo>
                                <a:pt x="108045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866096pt;margin-top:13.603067pt;width:85.1pt;height:.1pt;mso-position-horizontal-relative:page;mso-position-vertical-relative:paragraph;z-index:-15724032;mso-wrap-distance-left:0;mso-wrap-distance-right:0" id="docshape17" coordorigin="1417,272" coordsize="1702,0" path="m1417,272l3119,27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709" w:right="0" w:firstLine="0"/>
        <w:jc w:val="left"/>
        <w:rPr>
          <w:sz w:val="17"/>
        </w:rPr>
      </w:pPr>
      <w:r>
        <w:rPr>
          <w:color w:val="231F20"/>
          <w:spacing w:val="-2"/>
          <w:sz w:val="17"/>
          <w:vertAlign w:val="superscript"/>
        </w:rPr>
        <w:t>N1)</w:t>
      </w:r>
      <w:r>
        <w:rPr>
          <w:color w:val="231F20"/>
          <w:spacing w:val="-5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Odsyłacz</w:t>
      </w:r>
      <w:r>
        <w:rPr>
          <w:color w:val="231F20"/>
          <w:spacing w:val="-5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krajowy:</w:t>
      </w:r>
      <w:r>
        <w:rPr>
          <w:color w:val="231F20"/>
          <w:spacing w:val="-5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Błąd</w:t>
      </w:r>
      <w:r>
        <w:rPr>
          <w:color w:val="231F20"/>
          <w:spacing w:val="-5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w</w:t>
      </w:r>
      <w:r>
        <w:rPr>
          <w:color w:val="231F20"/>
          <w:spacing w:val="-5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oryginale</w:t>
      </w:r>
      <w:r>
        <w:rPr>
          <w:color w:val="231F20"/>
          <w:spacing w:val="-5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ISO,</w:t>
      </w:r>
      <w:r>
        <w:rPr>
          <w:color w:val="231F20"/>
          <w:spacing w:val="-5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zamiast</w:t>
      </w:r>
      <w:r>
        <w:rPr>
          <w:color w:val="231F20"/>
          <w:spacing w:val="-5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„5.1.3”</w:t>
      </w:r>
      <w:r>
        <w:rPr>
          <w:color w:val="231F20"/>
          <w:spacing w:val="-5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powinno</w:t>
      </w:r>
      <w:r>
        <w:rPr>
          <w:color w:val="231F20"/>
          <w:spacing w:val="-5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być</w:t>
      </w:r>
      <w:r>
        <w:rPr>
          <w:color w:val="231F20"/>
          <w:spacing w:val="-5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„5.1.3.1”.</w:t>
      </w:r>
    </w:p>
    <w:p>
      <w:pPr>
        <w:spacing w:after="0"/>
        <w:jc w:val="left"/>
        <w:rPr>
          <w:sz w:val="17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ListParagraph"/>
        <w:numPr>
          <w:ilvl w:val="3"/>
          <w:numId w:val="3"/>
        </w:numPr>
        <w:tabs>
          <w:tab w:pos="953" w:val="left" w:leader="none"/>
        </w:tabs>
        <w:spacing w:line="240" w:lineRule="auto" w:before="229" w:after="0"/>
        <w:ind w:left="953" w:right="0" w:hanging="811"/>
        <w:jc w:val="left"/>
        <w:rPr>
          <w:sz w:val="20"/>
        </w:rPr>
      </w:pPr>
      <w:bookmarkStart w:name="5.1.6 Powierzchnia konstrukcji" w:id="24"/>
      <w:bookmarkEnd w:id="24"/>
      <w:r>
        <w:rPr/>
      </w:r>
      <w:bookmarkStart w:name="5.1.7 Powierzchnia użytkowa " w:id="25"/>
      <w:bookmarkEnd w:id="25"/>
      <w:r>
        <w:rPr/>
      </w:r>
      <w:bookmarkStart w:name="_bookmark6" w:id="26"/>
      <w:bookmarkEnd w:id="26"/>
      <w:r>
        <w:rPr/>
      </w:r>
      <w:r>
        <w:rPr>
          <w:color w:val="231F20"/>
          <w:w w:val="90"/>
          <w:sz w:val="20"/>
        </w:rPr>
        <w:t>Powierzchnię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90"/>
          <w:sz w:val="20"/>
        </w:rPr>
        <w:t>netto</w:t>
      </w:r>
      <w:r>
        <w:rPr>
          <w:color w:val="231F20"/>
          <w:spacing w:val="13"/>
          <w:sz w:val="20"/>
        </w:rPr>
        <w:t> </w:t>
      </w:r>
      <w:r>
        <w:rPr>
          <w:color w:val="231F20"/>
          <w:w w:val="90"/>
          <w:sz w:val="20"/>
        </w:rPr>
        <w:t>dzieli</w:t>
      </w:r>
      <w:r>
        <w:rPr>
          <w:color w:val="231F20"/>
          <w:spacing w:val="13"/>
          <w:sz w:val="20"/>
        </w:rPr>
        <w:t> </w:t>
      </w:r>
      <w:r>
        <w:rPr>
          <w:color w:val="231F20"/>
          <w:w w:val="90"/>
          <w:sz w:val="20"/>
        </w:rPr>
        <w:t>się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-5"/>
          <w:w w:val="90"/>
          <w:sz w:val="20"/>
        </w:rPr>
        <w:t>na: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w w:val="90"/>
          <w:sz w:val="20"/>
        </w:rPr>
        <w:t>powierzchnię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użytkową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(patrz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5.1.7);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6"/>
          <w:sz w:val="20"/>
        </w:rPr>
        <w:t>powierzchnię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usługową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(patrz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5.1.8)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oraz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powierzchnię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ruchu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(patrz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5.1.9).</w:t>
      </w:r>
    </w:p>
    <w:p>
      <w:pPr>
        <w:pStyle w:val="BodyText"/>
        <w:spacing w:before="35"/>
      </w:pPr>
    </w:p>
    <w:p>
      <w:pPr>
        <w:pStyle w:val="Heading4"/>
        <w:numPr>
          <w:ilvl w:val="2"/>
          <w:numId w:val="3"/>
        </w:numPr>
        <w:tabs>
          <w:tab w:pos="761" w:val="left" w:leader="none"/>
        </w:tabs>
        <w:spacing w:line="240" w:lineRule="auto" w:before="0" w:after="0"/>
        <w:ind w:left="761" w:right="0" w:hanging="619"/>
        <w:jc w:val="left"/>
      </w:pPr>
      <w:r>
        <w:rPr>
          <w:color w:val="231F20"/>
        </w:rPr>
        <w:t>Powierzchnia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konstrukcji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929" w:val="left" w:leader="none"/>
        </w:tabs>
        <w:spacing w:line="249" w:lineRule="auto" w:before="0" w:after="0"/>
        <w:ind w:left="142" w:right="706" w:firstLine="0"/>
        <w:jc w:val="both"/>
        <w:rPr>
          <w:sz w:val="20"/>
        </w:rPr>
      </w:pPr>
      <w:r>
        <w:rPr>
          <w:color w:val="231F20"/>
          <w:spacing w:val="-8"/>
          <w:sz w:val="20"/>
        </w:rPr>
        <w:t>Powierzchnia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konstrukcji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jest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częścią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powierzchni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całkowitej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(mierzonej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rzucie,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poziomie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posadzki) </w:t>
      </w:r>
      <w:r>
        <w:rPr>
          <w:color w:val="231F20"/>
          <w:spacing w:val="-6"/>
          <w:sz w:val="20"/>
        </w:rPr>
        <w:t>zajętą przez elementy zamykające (np. ściany konstrukcyjne zewnętrzne i wewnętrzne) wraz z powierzchnią </w:t>
      </w:r>
      <w:r>
        <w:rPr>
          <w:color w:val="231F20"/>
          <w:spacing w:val="-4"/>
          <w:sz w:val="20"/>
        </w:rPr>
        <w:t>słupów,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pionów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wentylacyjnych,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kominów,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stałych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ścian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działowych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itp.,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także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inne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powierzchnie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niedostępne </w:t>
      </w:r>
      <w:r>
        <w:rPr>
          <w:color w:val="231F20"/>
          <w:sz w:val="20"/>
        </w:rPr>
        <w:t>(patrz Rysunek 1).</w:t>
      </w:r>
    </w:p>
    <w:p>
      <w:pPr>
        <w:pStyle w:val="BodyText"/>
        <w:spacing w:before="28"/>
      </w:pPr>
    </w:p>
    <w:p>
      <w:pPr>
        <w:pStyle w:val="ListParagraph"/>
        <w:numPr>
          <w:ilvl w:val="3"/>
          <w:numId w:val="3"/>
        </w:numPr>
        <w:tabs>
          <w:tab w:pos="946" w:val="left" w:leader="none"/>
        </w:tabs>
        <w:spacing w:line="249" w:lineRule="auto" w:before="1" w:after="0"/>
        <w:ind w:left="142" w:right="707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Powierzchnię konstrukcji określa się oddzielnie dla każdej kondygnacji, a jeżeli jest to niezbędne, </w:t>
      </w:r>
      <w:r>
        <w:rPr>
          <w:color w:val="231F20"/>
          <w:sz w:val="20"/>
        </w:rPr>
        <w:t>dodatkowo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dzieli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zgodnie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5.1.3.1.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Jest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obliczana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budynku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stanie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wykończonym,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poziomie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po- sadzki, z wyłączeniem powierzchni listew przypodłogowych, progów, cokołów itp.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946" w:val="left" w:leader="none"/>
        </w:tabs>
        <w:spacing w:line="249" w:lineRule="auto" w:before="0" w:after="0"/>
        <w:ind w:left="142" w:right="707" w:firstLine="0"/>
        <w:jc w:val="both"/>
        <w:rPr>
          <w:sz w:val="20"/>
        </w:rPr>
      </w:pPr>
      <w:r>
        <w:rPr>
          <w:color w:val="231F20"/>
          <w:spacing w:val="-8"/>
          <w:sz w:val="20"/>
        </w:rPr>
        <w:t>Do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powierzchni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konstrukcji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wlicza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się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także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powierzchnie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przejść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drzwiowych,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wnęk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nisz</w:t>
      </w:r>
      <w:r>
        <w:rPr>
          <w:color w:val="231F20"/>
          <w:spacing w:val="-8"/>
          <w:sz w:val="20"/>
          <w:vertAlign w:val="superscript"/>
        </w:rPr>
        <w:t>N2)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8"/>
          <w:sz w:val="20"/>
          <w:vertAlign w:val="baseline"/>
        </w:rPr>
        <w:t>w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8"/>
          <w:sz w:val="20"/>
          <w:vertAlign w:val="baseline"/>
        </w:rPr>
        <w:t>stałych </w:t>
      </w:r>
      <w:r>
        <w:rPr>
          <w:color w:val="231F20"/>
          <w:sz w:val="20"/>
          <w:vertAlign w:val="baseline"/>
        </w:rPr>
        <w:t>przegrodach budowlanych (patrz 5.1.5.4), zgodnie z 5.1.3.2.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946" w:val="left" w:leader="none"/>
        </w:tabs>
        <w:spacing w:line="249" w:lineRule="auto" w:before="0" w:after="0"/>
        <w:ind w:left="142" w:right="707" w:firstLine="0"/>
        <w:jc w:val="both"/>
        <w:rPr>
          <w:sz w:val="20"/>
        </w:rPr>
      </w:pPr>
      <w:r>
        <w:rPr>
          <w:color w:val="231F20"/>
          <w:spacing w:val="-8"/>
          <w:sz w:val="20"/>
        </w:rPr>
        <w:t>Powierzchnię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konstrukcji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można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obliczać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także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jako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różnicę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powierzchni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całkowitej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(patrz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5.1.3)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po- </w:t>
      </w:r>
      <w:r>
        <w:rPr>
          <w:color w:val="231F20"/>
          <w:sz w:val="20"/>
        </w:rPr>
        <w:t>wierzchni netto (patrz 5.1.5).</w:t>
      </w:r>
    </w:p>
    <w:p>
      <w:pPr>
        <w:pStyle w:val="BodyText"/>
        <w:spacing w:before="27"/>
      </w:pPr>
    </w:p>
    <w:p>
      <w:pPr>
        <w:pStyle w:val="Heading4"/>
        <w:numPr>
          <w:ilvl w:val="2"/>
          <w:numId w:val="3"/>
        </w:numPr>
        <w:tabs>
          <w:tab w:pos="761" w:val="left" w:leader="none"/>
        </w:tabs>
        <w:spacing w:line="240" w:lineRule="auto" w:before="0" w:after="0"/>
        <w:ind w:left="761" w:right="0" w:hanging="619"/>
        <w:jc w:val="both"/>
      </w:pPr>
      <w:r>
        <w:rPr>
          <w:color w:val="231F20"/>
        </w:rPr>
        <w:t>Powierzchnia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użytkowa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946" w:val="left" w:leader="none"/>
        </w:tabs>
        <w:spacing w:line="249" w:lineRule="auto" w:before="0" w:after="0"/>
        <w:ind w:left="142" w:right="707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Powierzchnia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użytkowa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jest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część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powierzchni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netto,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która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odpowiada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celom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zgodnym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z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przezna- </w:t>
      </w:r>
      <w:r>
        <w:rPr>
          <w:color w:val="231F20"/>
          <w:sz w:val="20"/>
        </w:rPr>
        <w:t>czeniem i funkcją budynku (patrz Rysunek 1).</w:t>
      </w:r>
    </w:p>
    <w:p>
      <w:pPr>
        <w:pStyle w:val="BodyText"/>
        <w:spacing w:before="26"/>
      </w:pPr>
    </w:p>
    <w:p>
      <w:pPr>
        <w:pStyle w:val="ListParagraph"/>
        <w:numPr>
          <w:ilvl w:val="3"/>
          <w:numId w:val="3"/>
        </w:numPr>
        <w:tabs>
          <w:tab w:pos="944" w:val="left" w:leader="none"/>
        </w:tabs>
        <w:spacing w:line="240" w:lineRule="auto" w:before="1" w:after="0"/>
        <w:ind w:left="944" w:right="0" w:hanging="802"/>
        <w:jc w:val="left"/>
        <w:rPr>
          <w:sz w:val="20"/>
        </w:rPr>
      </w:pPr>
      <w:r>
        <w:rPr>
          <w:color w:val="231F20"/>
          <w:spacing w:val="-6"/>
          <w:sz w:val="20"/>
        </w:rPr>
        <w:t>Powierzchnia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użytkowa określana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jest oddzielnie dla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każdej kondygnacji 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dodatkowo dzielona zgodnie</w:t>
      </w:r>
    </w:p>
    <w:p>
      <w:pPr>
        <w:pStyle w:val="BodyText"/>
        <w:spacing w:before="10"/>
        <w:ind w:left="142"/>
      </w:pPr>
      <w:r>
        <w:rPr>
          <w:color w:val="231F20"/>
        </w:rPr>
        <w:t>z </w:t>
      </w:r>
      <w:r>
        <w:rPr>
          <w:color w:val="231F20"/>
          <w:spacing w:val="-2"/>
        </w:rPr>
        <w:t>5.1.3.1.</w:t>
      </w:r>
    </w:p>
    <w:p>
      <w:pPr>
        <w:pStyle w:val="BodyText"/>
        <w:spacing w:before="35"/>
      </w:pPr>
    </w:p>
    <w:p>
      <w:pPr>
        <w:pStyle w:val="ListParagraph"/>
        <w:numPr>
          <w:ilvl w:val="3"/>
          <w:numId w:val="3"/>
        </w:numPr>
        <w:tabs>
          <w:tab w:pos="946" w:val="left" w:leader="none"/>
        </w:tabs>
        <w:spacing w:line="249" w:lineRule="auto" w:before="0" w:after="0"/>
        <w:ind w:left="142" w:right="708" w:firstLine="0"/>
        <w:jc w:val="both"/>
        <w:rPr>
          <w:sz w:val="20"/>
        </w:rPr>
      </w:pPr>
      <w:r>
        <w:rPr>
          <w:color w:val="231F20"/>
          <w:spacing w:val="-8"/>
          <w:sz w:val="20"/>
        </w:rPr>
        <w:t>Powierzchnie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użytkowe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klasyfikowane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są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zgodnie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z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przeznaczeniem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budynku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funkcją,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jaką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mają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one w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nim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pełnić;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dzieli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się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je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zazwyczaj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na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powierzchnie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użytkowe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podstawowe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i powierzchnie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użytkowe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8"/>
          <w:sz w:val="20"/>
        </w:rPr>
        <w:t>pomocnicze.</w:t>
      </w:r>
    </w:p>
    <w:p>
      <w:pPr>
        <w:pStyle w:val="BodyText"/>
        <w:spacing w:before="26"/>
      </w:pPr>
    </w:p>
    <w:p>
      <w:pPr>
        <w:pStyle w:val="BodyText"/>
        <w:spacing w:line="249" w:lineRule="auto" w:before="1"/>
        <w:ind w:left="142" w:right="707"/>
        <w:jc w:val="both"/>
      </w:pPr>
      <w:r>
        <w:rPr>
          <w:color w:val="231F20"/>
          <w:w w:val="90"/>
        </w:rPr>
        <w:t>Podział na powierzchnię użytkową podstawową i powierzchnię użytkową pomocniczą zależy od tego, czy prze- </w:t>
      </w:r>
      <w:r>
        <w:rPr>
          <w:color w:val="231F20"/>
          <w:spacing w:val="-4"/>
        </w:rPr>
        <w:t>znaczenie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przestrzeni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jest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zgodne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podstawowym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przeznaczeniem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budynku,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czy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też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funkcją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uzupełniającą </w:t>
      </w:r>
      <w:r>
        <w:rPr>
          <w:color w:val="231F20"/>
        </w:rPr>
        <w:t>przeznaczenie podstawowe.</w:t>
      </w:r>
    </w:p>
    <w:p>
      <w:pPr>
        <w:pStyle w:val="BodyText"/>
        <w:spacing w:before="27"/>
      </w:pPr>
    </w:p>
    <w:p>
      <w:pPr>
        <w:pStyle w:val="BodyText"/>
        <w:spacing w:line="249" w:lineRule="auto"/>
        <w:ind w:left="142" w:right="707"/>
        <w:jc w:val="both"/>
      </w:pPr>
      <w:r>
        <w:rPr>
          <w:color w:val="231F20"/>
          <w:spacing w:val="-2"/>
        </w:rPr>
        <w:t>Poniżej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podano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przykłady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podstawowego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przeznaczenia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pomieszczeń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budynkach.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Szczegółowe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informacje </w:t>
      </w:r>
      <w:r>
        <w:rPr>
          <w:color w:val="231F20"/>
        </w:rPr>
        <w:t>na ten temat podaje ISO 19208:2016, Tablica B.1.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</w:tabs>
        <w:spacing w:line="240" w:lineRule="auto" w:before="172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Transport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(ludzi,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towarów,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płynów,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energii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elektrycznej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itp.).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pacing w:val="-4"/>
          <w:sz w:val="20"/>
        </w:rPr>
        <w:t>Przemysł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4"/>
          <w:sz w:val="20"/>
        </w:rPr>
        <w:t>(praca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4"/>
          <w:sz w:val="20"/>
        </w:rPr>
        <w:t>fizyczna,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4"/>
          <w:sz w:val="20"/>
        </w:rPr>
        <w:t>produkcja,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4"/>
          <w:sz w:val="20"/>
        </w:rPr>
        <w:t>rolnictwo,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4"/>
          <w:sz w:val="20"/>
        </w:rPr>
        <w:t>przeprowadzanie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4"/>
          <w:sz w:val="20"/>
        </w:rPr>
        <w:t>doświadczeń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4"/>
          <w:sz w:val="20"/>
        </w:rPr>
        <w:t>itp.).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pacing w:val="-6"/>
          <w:sz w:val="20"/>
        </w:rPr>
        <w:t>Biuro,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handel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(badanie,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pisanie,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kreślenie,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sprzedaż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detaliczna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lub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hurtowa,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księgowość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itp.).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Opieka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medyczna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(badania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lekarskie,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leczenie,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operacje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itp.).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Rekreacja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(gimnastyka,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pływanie,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gry,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taniec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itp.).</w:t>
      </w:r>
    </w:p>
    <w:p>
      <w:pPr>
        <w:pStyle w:val="ListParagraph"/>
        <w:numPr>
          <w:ilvl w:val="0"/>
          <w:numId w:val="8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2"/>
          <w:sz w:val="20"/>
        </w:rPr>
        <w:t>Kultura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(obrzędy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religijne,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kształcenie,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konferencje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itp.).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Mieszkalnictwo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(spanie,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pobyt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itp.).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</w:tabs>
        <w:spacing w:line="240" w:lineRule="auto" w:before="181" w:after="0"/>
        <w:ind w:left="481" w:right="0" w:hanging="339"/>
        <w:jc w:val="left"/>
        <w:rPr>
          <w:sz w:val="20"/>
        </w:rPr>
      </w:pPr>
      <w:r>
        <w:rPr>
          <w:color w:val="231F20"/>
          <w:spacing w:val="-2"/>
          <w:sz w:val="20"/>
        </w:rPr>
        <w:t>Komunikacja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(przejścia,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korytarze,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schody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itp.).</w:t>
      </w:r>
    </w:p>
    <w:p>
      <w:pPr>
        <w:pStyle w:val="BodyText"/>
      </w:pPr>
    </w:p>
    <w:p>
      <w:pPr>
        <w:pStyle w:val="BodyText"/>
        <w:spacing w:before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539771</wp:posOffset>
                </wp:positionH>
                <wp:positionV relativeFrom="paragraph">
                  <wp:posOffset>208940</wp:posOffset>
                </wp:positionV>
                <wp:extent cx="1080135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0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01701pt;margin-top:16.45203pt;width:85.05pt;height:.1pt;mso-position-horizontal-relative:page;mso-position-vertical-relative:paragraph;z-index:-15723520;mso-wrap-distance-left:0;mso-wrap-distance-right:0" id="docshape18" coordorigin="850,329" coordsize="1701,0" path="m850,329l2551,32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67"/>
        <w:ind w:left="142" w:right="0" w:firstLine="0"/>
        <w:jc w:val="left"/>
        <w:rPr>
          <w:sz w:val="17"/>
        </w:rPr>
      </w:pPr>
      <w:r>
        <w:rPr>
          <w:color w:val="231F20"/>
          <w:spacing w:val="-6"/>
          <w:sz w:val="17"/>
          <w:vertAlign w:val="superscript"/>
        </w:rPr>
        <w:t>N2)</w:t>
      </w:r>
      <w:r>
        <w:rPr>
          <w:color w:val="231F20"/>
          <w:spacing w:val="-6"/>
          <w:sz w:val="17"/>
          <w:vertAlign w:val="baseline"/>
        </w:rPr>
        <w:t> Odsyłacz krajowy: Błąd w oryginale ISO, zamiast „przejść drzwiowych, wnęk i nisz” powinno być „przejść drzwiowych, otworów </w:t>
      </w:r>
      <w:r>
        <w:rPr>
          <w:color w:val="231F20"/>
          <w:sz w:val="17"/>
          <w:vertAlign w:val="baseline"/>
        </w:rPr>
        <w:t>okiennych, wnęk i nisz” – porównaj 5.1.5.4.</w:t>
      </w:r>
    </w:p>
    <w:p>
      <w:pPr>
        <w:spacing w:after="0" w:line="256" w:lineRule="auto"/>
        <w:jc w:val="left"/>
        <w:rPr>
          <w:sz w:val="17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ListParagraph"/>
        <w:numPr>
          <w:ilvl w:val="0"/>
          <w:numId w:val="8"/>
        </w:numPr>
        <w:tabs>
          <w:tab w:pos="1049" w:val="left" w:leader="none"/>
        </w:tabs>
        <w:spacing w:line="240" w:lineRule="auto" w:before="229" w:after="0"/>
        <w:ind w:left="1049" w:right="0" w:hanging="340"/>
        <w:jc w:val="left"/>
        <w:rPr>
          <w:sz w:val="20"/>
        </w:rPr>
      </w:pPr>
      <w:bookmarkStart w:name="5.1.8 Powierzchnia usługowo-techniczna " w:id="27"/>
      <w:bookmarkEnd w:id="27"/>
      <w:r>
        <w:rPr/>
      </w:r>
      <w:bookmarkStart w:name="5.1.9 Powierzchnia ruchu " w:id="28"/>
      <w:bookmarkEnd w:id="28"/>
      <w:r>
        <w:rPr/>
      </w:r>
      <w:bookmarkStart w:name="5.1.10  Powierzchnia obudowy budynku" w:id="29"/>
      <w:bookmarkEnd w:id="29"/>
      <w:r>
        <w:rPr/>
      </w:r>
      <w:bookmarkStart w:name="_bookmark7" w:id="30"/>
      <w:bookmarkEnd w:id="30"/>
      <w:r>
        <w:rPr/>
      </w:r>
      <w:r>
        <w:rPr>
          <w:color w:val="231F20"/>
          <w:sz w:val="20"/>
        </w:rPr>
        <w:t>Gastronomia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(przygotowanie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posiłków,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konsumpcja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itp.).</w:t>
      </w:r>
    </w:p>
    <w:p>
      <w:pPr>
        <w:pStyle w:val="ListParagraph"/>
        <w:numPr>
          <w:ilvl w:val="0"/>
          <w:numId w:val="8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pacing w:val="-6"/>
          <w:sz w:val="20"/>
        </w:rPr>
        <w:t>Higiena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(kąpiel,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czynności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toaletowe itp.).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pacing w:val="-4"/>
          <w:sz w:val="20"/>
        </w:rPr>
        <w:t>Utrzymanie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4"/>
          <w:sz w:val="20"/>
        </w:rPr>
        <w:t>czystości,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4"/>
          <w:sz w:val="20"/>
        </w:rPr>
        <w:t>konserwacja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4"/>
          <w:sz w:val="20"/>
        </w:rPr>
        <w:t>(pranie,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4"/>
          <w:sz w:val="20"/>
        </w:rPr>
        <w:t>sprzątanie,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4"/>
          <w:sz w:val="20"/>
        </w:rPr>
        <w:t>naprawy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4"/>
          <w:sz w:val="20"/>
        </w:rPr>
        <w:t>itp.).</w:t>
      </w:r>
    </w:p>
    <w:p>
      <w:pPr>
        <w:pStyle w:val="ListParagraph"/>
        <w:numPr>
          <w:ilvl w:val="0"/>
          <w:numId w:val="8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w w:val="90"/>
          <w:sz w:val="20"/>
        </w:rPr>
        <w:t>Magazynowanie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90"/>
          <w:sz w:val="20"/>
        </w:rPr>
        <w:t>(towarów,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90"/>
          <w:sz w:val="20"/>
        </w:rPr>
        <w:t>odzieży,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90"/>
          <w:sz w:val="20"/>
        </w:rPr>
        <w:t>żywności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-2"/>
          <w:w w:val="90"/>
          <w:sz w:val="20"/>
        </w:rPr>
        <w:t>itp.).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pacing w:val="-2"/>
          <w:sz w:val="20"/>
        </w:rPr>
        <w:t>Obsługa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techniczna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budynku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(węzły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cieplne,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kotłownie,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portiernia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itp.).</w:t>
      </w:r>
    </w:p>
    <w:p>
      <w:pPr>
        <w:pStyle w:val="ListParagraph"/>
        <w:numPr>
          <w:ilvl w:val="0"/>
          <w:numId w:val="8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pacing w:val="-2"/>
          <w:sz w:val="20"/>
        </w:rPr>
        <w:t>Inne.</w:t>
      </w:r>
    </w:p>
    <w:p>
      <w:pPr>
        <w:pStyle w:val="BodyText"/>
        <w:spacing w:before="35"/>
      </w:pPr>
    </w:p>
    <w:p>
      <w:pPr>
        <w:pStyle w:val="Heading4"/>
        <w:numPr>
          <w:ilvl w:val="2"/>
          <w:numId w:val="3"/>
        </w:numPr>
        <w:tabs>
          <w:tab w:pos="1328" w:val="left" w:leader="none"/>
        </w:tabs>
        <w:spacing w:line="240" w:lineRule="auto" w:before="0" w:after="0"/>
        <w:ind w:left="1328" w:right="0" w:hanging="619"/>
        <w:jc w:val="left"/>
      </w:pPr>
      <w:r>
        <w:rPr>
          <w:color w:val="231F20"/>
          <w:spacing w:val="-2"/>
        </w:rPr>
        <w:t>Powierzchnia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usługowo-techniczna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0" w:after="0"/>
        <w:ind w:left="709" w:right="140" w:firstLine="0"/>
        <w:jc w:val="both"/>
        <w:rPr>
          <w:sz w:val="20"/>
        </w:rPr>
      </w:pPr>
      <w:r>
        <w:rPr>
          <w:color w:val="231F20"/>
          <w:spacing w:val="-6"/>
          <w:sz w:val="20"/>
        </w:rPr>
        <w:t>Powierzchnia usługowo-techniczna jest to część powierzchni netto przeznaczona na instalacje i urzą- </w:t>
      </w:r>
      <w:r>
        <w:rPr>
          <w:color w:val="231F20"/>
          <w:spacing w:val="-2"/>
          <w:sz w:val="20"/>
        </w:rPr>
        <w:t>dzenia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techniczne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służące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obsługi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budynku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lub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jego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części,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takie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jak:</w:t>
      </w:r>
    </w:p>
    <w:p>
      <w:pPr>
        <w:pStyle w:val="ListParagraph"/>
        <w:numPr>
          <w:ilvl w:val="0"/>
          <w:numId w:val="9"/>
        </w:numPr>
        <w:tabs>
          <w:tab w:pos="1048" w:val="left" w:leader="none"/>
        </w:tabs>
        <w:spacing w:line="240" w:lineRule="auto" w:before="172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instalacje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kanalizacyjne;</w:t>
      </w:r>
    </w:p>
    <w:p>
      <w:pPr>
        <w:pStyle w:val="ListParagraph"/>
        <w:numPr>
          <w:ilvl w:val="0"/>
          <w:numId w:val="9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instalacje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zimnej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wody;</w:t>
      </w:r>
    </w:p>
    <w:p>
      <w:pPr>
        <w:pStyle w:val="ListParagraph"/>
        <w:numPr>
          <w:ilvl w:val="0"/>
          <w:numId w:val="9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instalacje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ogrzewcze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ciepłej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wody;</w:t>
      </w:r>
    </w:p>
    <w:p>
      <w:pPr>
        <w:pStyle w:val="ListParagraph"/>
        <w:numPr>
          <w:ilvl w:val="0"/>
          <w:numId w:val="9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instalacje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gazowe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(inne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niż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celów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ogrzewania)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paliwa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płynne;</w:t>
      </w:r>
    </w:p>
    <w:p>
      <w:pPr>
        <w:pStyle w:val="ListParagraph"/>
        <w:numPr>
          <w:ilvl w:val="0"/>
          <w:numId w:val="9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instalacje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elektryczne,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prądnice;</w:t>
      </w:r>
    </w:p>
    <w:p>
      <w:pPr>
        <w:pStyle w:val="ListParagraph"/>
        <w:numPr>
          <w:ilvl w:val="0"/>
          <w:numId w:val="9"/>
        </w:numPr>
        <w:tabs>
          <w:tab w:pos="1049" w:val="left" w:leader="none"/>
        </w:tabs>
        <w:spacing w:line="240" w:lineRule="auto" w:before="181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instalacje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wentylacyjne,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klimatyzacyjne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systemów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chłodniczych;</w:t>
      </w:r>
    </w:p>
    <w:p>
      <w:pPr>
        <w:pStyle w:val="ListParagraph"/>
        <w:numPr>
          <w:ilvl w:val="0"/>
          <w:numId w:val="9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instalacje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telekomunikacyjne;</w:t>
      </w:r>
    </w:p>
    <w:p>
      <w:pPr>
        <w:pStyle w:val="ListParagraph"/>
        <w:numPr>
          <w:ilvl w:val="0"/>
          <w:numId w:val="9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pacing w:val="-6"/>
          <w:sz w:val="20"/>
        </w:rPr>
        <w:t>dźwigi,</w:t>
      </w:r>
      <w:r>
        <w:rPr>
          <w:color w:val="231F20"/>
          <w:sz w:val="20"/>
        </w:rPr>
        <w:t> </w:t>
      </w:r>
      <w:r>
        <w:rPr>
          <w:color w:val="231F20"/>
          <w:spacing w:val="-6"/>
          <w:sz w:val="20"/>
        </w:rPr>
        <w:t>schody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6"/>
          <w:sz w:val="20"/>
        </w:rPr>
        <w:t>ruchome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6"/>
          <w:sz w:val="20"/>
        </w:rPr>
        <w:t>i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6"/>
          <w:sz w:val="20"/>
        </w:rPr>
        <w:t>przenośniki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6"/>
          <w:sz w:val="20"/>
        </w:rPr>
        <w:t>(patrz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6"/>
          <w:sz w:val="20"/>
        </w:rPr>
        <w:t>5.1.9.3);</w:t>
      </w:r>
    </w:p>
    <w:p>
      <w:pPr>
        <w:pStyle w:val="ListParagraph"/>
        <w:numPr>
          <w:ilvl w:val="0"/>
          <w:numId w:val="9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inne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instalacje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wspólnego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użytku.</w:t>
      </w:r>
    </w:p>
    <w:p>
      <w:pPr>
        <w:pStyle w:val="BodyText"/>
        <w:spacing w:before="35"/>
      </w:pP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49" w:lineRule="auto" w:before="0" w:after="0"/>
        <w:ind w:left="709" w:right="142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>Powierzchnię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usługowo-techniczną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określa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się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oddzielnie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dla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każdej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kondygnacji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oraz,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jeżeli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jest </w:t>
      </w:r>
      <w:r>
        <w:rPr>
          <w:color w:val="231F20"/>
          <w:sz w:val="20"/>
        </w:rPr>
        <w:t>to niezbędne, dodatkowo dzieli zgodnie z 5.1.3.1.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0" w:after="0"/>
        <w:ind w:left="709" w:right="139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>Do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powierzchni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usługowo-technicznej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wlicza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się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także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powierzchnie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pomieszczeń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przeznaczonych </w:t>
      </w:r>
      <w:r>
        <w:rPr>
          <w:color w:val="231F20"/>
          <w:spacing w:val="-4"/>
          <w:sz w:val="20"/>
        </w:rPr>
        <w:t>na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podstawowe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instalacje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techniczne,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kanały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przewody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zasilające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dużych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rozmiarów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oraz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pomosty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techniczne.</w:t>
      </w:r>
    </w:p>
    <w:p>
      <w:pPr>
        <w:pStyle w:val="BodyText"/>
        <w:spacing w:before="26"/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1" w:after="0"/>
        <w:ind w:left="709" w:right="140" w:firstLine="0"/>
        <w:jc w:val="both"/>
        <w:rPr>
          <w:sz w:val="20"/>
        </w:rPr>
      </w:pPr>
      <w:r>
        <w:rPr>
          <w:color w:val="231F20"/>
          <w:sz w:val="20"/>
        </w:rPr>
        <w:t>Powierzchnie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pomieszczeń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instalacjami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technicznymi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przeznaczonymi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bezpośredniego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korzy- </w:t>
      </w:r>
      <w:r>
        <w:rPr>
          <w:color w:val="231F20"/>
          <w:spacing w:val="-8"/>
          <w:sz w:val="20"/>
        </w:rPr>
        <w:t>stania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przez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stałych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użytkowników,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jak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np.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instalacje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usług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komputerowych,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są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częścią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powierzchni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użytkowej,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nie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powierzchni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usługowo-technicznej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związanej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obsługą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budynku.</w:t>
      </w:r>
    </w:p>
    <w:p>
      <w:pPr>
        <w:pStyle w:val="BodyText"/>
        <w:spacing w:before="27"/>
      </w:pPr>
    </w:p>
    <w:p>
      <w:pPr>
        <w:pStyle w:val="Heading4"/>
        <w:numPr>
          <w:ilvl w:val="2"/>
          <w:numId w:val="3"/>
        </w:numPr>
        <w:tabs>
          <w:tab w:pos="1328" w:val="left" w:leader="none"/>
        </w:tabs>
        <w:spacing w:line="240" w:lineRule="auto" w:before="0" w:after="0"/>
        <w:ind w:left="1328" w:right="0" w:hanging="619"/>
        <w:jc w:val="left"/>
      </w:pPr>
      <w:r>
        <w:rPr>
          <w:color w:val="231F20"/>
        </w:rPr>
        <w:t>Powierzchnia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ruchu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05" w:val="left" w:leader="none"/>
        </w:tabs>
        <w:spacing w:line="249" w:lineRule="auto" w:before="0" w:after="0"/>
        <w:ind w:left="709" w:right="140" w:firstLine="0"/>
        <w:jc w:val="both"/>
        <w:rPr>
          <w:sz w:val="20"/>
        </w:rPr>
      </w:pPr>
      <w:r>
        <w:rPr>
          <w:color w:val="231F20"/>
          <w:spacing w:val="-8"/>
          <w:sz w:val="20"/>
        </w:rPr>
        <w:t>Powierzchnia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ruchu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jest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to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część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powierzchni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netto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przeznaczona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dla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ruchu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wewnątrz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budynku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(np.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po- </w:t>
      </w:r>
      <w:r>
        <w:rPr>
          <w:color w:val="231F20"/>
          <w:sz w:val="20"/>
        </w:rPr>
        <w:t>wierzchnia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klatek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schodowych,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korytarzy,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pochylni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wewnętrznych,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poczekalni,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balkonów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ewakuacyjnych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itp.).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1514" w:val="left" w:leader="none"/>
        </w:tabs>
        <w:spacing w:line="249" w:lineRule="auto" w:before="0" w:after="0"/>
        <w:ind w:left="709" w:right="146" w:firstLine="0"/>
        <w:jc w:val="both"/>
        <w:rPr>
          <w:sz w:val="20"/>
        </w:rPr>
      </w:pPr>
      <w:r>
        <w:rPr>
          <w:color w:val="231F20"/>
          <w:sz w:val="20"/>
        </w:rPr>
        <w:t>Powierzchnię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ruchu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określa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się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oddzielnie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dla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każdej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oraz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dodatkowo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dzieli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zgodnie </w:t>
      </w:r>
      <w:r>
        <w:rPr>
          <w:color w:val="231F20"/>
          <w:spacing w:val="-2"/>
          <w:sz w:val="20"/>
        </w:rPr>
        <w:t>z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5.1.3.1.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Powierzchnie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zróżnicowanej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wysokości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w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obrębie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jednej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kondygnacji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oblicza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się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oddzielnie.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0" w:after="0"/>
        <w:ind w:left="709" w:right="139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powierzchni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ruchu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wlicza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się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także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powierzchnie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netto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szybów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dźwigowych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powierzchnie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zajęte przez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urządzenia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wbudowane,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przeznaczone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ruchu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ogólnie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dostępnego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każdej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kondygnacji,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np.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schody </w:t>
      </w:r>
      <w:r>
        <w:rPr>
          <w:color w:val="231F20"/>
          <w:sz w:val="20"/>
        </w:rPr>
        <w:t>ruchome (patrz 5.1.8.1).</w:t>
      </w:r>
    </w:p>
    <w:p>
      <w:pPr>
        <w:pStyle w:val="BodyText"/>
        <w:spacing w:before="27"/>
      </w:pPr>
    </w:p>
    <w:p>
      <w:pPr>
        <w:pStyle w:val="Heading4"/>
        <w:numPr>
          <w:ilvl w:val="2"/>
          <w:numId w:val="3"/>
        </w:numPr>
        <w:tabs>
          <w:tab w:pos="1384" w:val="left" w:leader="none"/>
        </w:tabs>
        <w:spacing w:line="240" w:lineRule="auto" w:before="0" w:after="0"/>
        <w:ind w:left="1384" w:right="0" w:hanging="675"/>
        <w:jc w:val="left"/>
      </w:pPr>
      <w:r>
        <w:rPr>
          <w:color w:val="231F20"/>
        </w:rPr>
        <w:t>Powierzchnia</w:t>
      </w:r>
      <w:r>
        <w:rPr>
          <w:color w:val="231F20"/>
          <w:spacing w:val="-9"/>
        </w:rPr>
        <w:t> </w:t>
      </w:r>
      <w:r>
        <w:rPr>
          <w:color w:val="231F20"/>
        </w:rPr>
        <w:t>obudowy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budynku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651" w:val="left" w:leader="none"/>
        </w:tabs>
        <w:spacing w:line="249" w:lineRule="auto" w:before="1" w:after="0"/>
        <w:ind w:left="709" w:right="135" w:firstLine="0"/>
        <w:jc w:val="both"/>
        <w:rPr>
          <w:sz w:val="20"/>
        </w:rPr>
      </w:pPr>
      <w:r>
        <w:rPr>
          <w:color w:val="231F20"/>
          <w:sz w:val="20"/>
        </w:rPr>
        <w:t>Powierzchnię obudowy budynku oblicza się dla budynków lub części budynków zamkniętych ze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wszystkich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stron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stałymi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przegrodami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budowlanymi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przekrytych,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wliczając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niej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części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konstrukcji, </w:t>
      </w:r>
      <w:r>
        <w:rPr>
          <w:color w:val="231F20"/>
          <w:spacing w:val="-4"/>
          <w:sz w:val="20"/>
        </w:rPr>
        <w:t>które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znajdują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się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powyżej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poniżej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poziomu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terenu.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BodyText"/>
        <w:spacing w:before="229"/>
        <w:ind w:left="142"/>
      </w:pPr>
      <w:bookmarkStart w:name="5.1.11  Powierzchnia nieużyteczna budynk" w:id="31"/>
      <w:bookmarkEnd w:id="31"/>
      <w:r>
        <w:rPr/>
      </w:r>
      <w:bookmarkStart w:name="_bookmark8" w:id="32"/>
      <w:bookmarkEnd w:id="32"/>
      <w:r>
        <w:rPr/>
      </w:r>
      <w:r>
        <w:rPr>
          <w:color w:val="231F20"/>
          <w:w w:val="90"/>
        </w:rPr>
        <w:t>Należy</w:t>
      </w:r>
      <w:r>
        <w:rPr>
          <w:color w:val="231F20"/>
          <w:spacing w:val="17"/>
        </w:rPr>
        <w:t> </w:t>
      </w:r>
      <w:r>
        <w:rPr>
          <w:color w:val="231F20"/>
          <w:w w:val="90"/>
        </w:rPr>
        <w:t>dokonać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rozróżnienia</w:t>
      </w:r>
      <w:r>
        <w:rPr>
          <w:color w:val="231F20"/>
          <w:spacing w:val="17"/>
        </w:rPr>
        <w:t> </w:t>
      </w:r>
      <w:r>
        <w:rPr>
          <w:color w:val="231F20"/>
          <w:w w:val="90"/>
        </w:rPr>
        <w:t>między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poniższymi</w:t>
      </w:r>
      <w:r>
        <w:rPr>
          <w:color w:val="231F20"/>
          <w:spacing w:val="17"/>
        </w:rPr>
        <w:t> </w:t>
      </w:r>
      <w:r>
        <w:rPr>
          <w:color w:val="231F20"/>
          <w:w w:val="90"/>
        </w:rPr>
        <w:t>powierzchniami,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w</w:t>
      </w:r>
      <w:r>
        <w:rPr>
          <w:color w:val="231F20"/>
          <w:spacing w:val="17"/>
        </w:rPr>
        <w:t> </w:t>
      </w:r>
      <w:r>
        <w:rPr>
          <w:color w:val="231F20"/>
          <w:w w:val="90"/>
        </w:rPr>
        <w:t>podanej</w:t>
      </w:r>
      <w:r>
        <w:rPr>
          <w:color w:val="231F20"/>
          <w:spacing w:val="18"/>
        </w:rPr>
        <w:t> </w:t>
      </w:r>
      <w:r>
        <w:rPr>
          <w:color w:val="231F20"/>
          <w:spacing w:val="-2"/>
          <w:w w:val="90"/>
        </w:rPr>
        <w:t>kolejności:</w:t>
      </w:r>
    </w:p>
    <w:p>
      <w:pPr>
        <w:pStyle w:val="ListParagraph"/>
        <w:numPr>
          <w:ilvl w:val="0"/>
          <w:numId w:val="10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pacing w:val="-2"/>
          <w:sz w:val="20"/>
        </w:rPr>
        <w:t>fundamentów;</w:t>
      </w:r>
    </w:p>
    <w:p>
      <w:pPr>
        <w:pStyle w:val="ListParagraph"/>
        <w:numPr>
          <w:ilvl w:val="0"/>
          <w:numId w:val="10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w w:val="90"/>
          <w:sz w:val="20"/>
        </w:rPr>
        <w:t>ściany</w:t>
      </w:r>
      <w:r>
        <w:rPr>
          <w:color w:val="231F20"/>
          <w:spacing w:val="3"/>
          <w:sz w:val="20"/>
        </w:rPr>
        <w:t> </w:t>
      </w:r>
      <w:r>
        <w:rPr>
          <w:color w:val="231F20"/>
          <w:w w:val="90"/>
          <w:sz w:val="20"/>
        </w:rPr>
        <w:t>zewnętrznej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poniżej</w:t>
      </w:r>
      <w:r>
        <w:rPr>
          <w:color w:val="231F20"/>
          <w:spacing w:val="3"/>
          <w:sz w:val="20"/>
        </w:rPr>
        <w:t> </w:t>
      </w:r>
      <w:r>
        <w:rPr>
          <w:color w:val="231F20"/>
          <w:w w:val="90"/>
          <w:sz w:val="20"/>
        </w:rPr>
        <w:t>poziomu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2"/>
          <w:w w:val="90"/>
          <w:sz w:val="20"/>
        </w:rPr>
        <w:t>terenu;</w:t>
      </w:r>
    </w:p>
    <w:p>
      <w:pPr>
        <w:pStyle w:val="ListParagraph"/>
        <w:numPr>
          <w:ilvl w:val="0"/>
          <w:numId w:val="10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w w:val="90"/>
          <w:sz w:val="20"/>
        </w:rPr>
        <w:t>ściany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zewnętrznej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90"/>
          <w:sz w:val="20"/>
        </w:rPr>
        <w:t>powyżej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90"/>
          <w:sz w:val="20"/>
        </w:rPr>
        <w:t>poziomu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2"/>
          <w:w w:val="90"/>
          <w:sz w:val="20"/>
        </w:rPr>
        <w:t>terenu;</w:t>
      </w:r>
    </w:p>
    <w:p>
      <w:pPr>
        <w:pStyle w:val="ListParagraph"/>
        <w:numPr>
          <w:ilvl w:val="0"/>
          <w:numId w:val="10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pacing w:val="-2"/>
          <w:sz w:val="20"/>
        </w:rPr>
        <w:t>dachu.</w:t>
      </w:r>
    </w:p>
    <w:p>
      <w:pPr>
        <w:pStyle w:val="BodyText"/>
        <w:spacing w:before="35"/>
      </w:pPr>
    </w:p>
    <w:p>
      <w:pPr>
        <w:pStyle w:val="BodyText"/>
        <w:spacing w:line="249" w:lineRule="auto"/>
        <w:ind w:left="142" w:right="704"/>
        <w:jc w:val="both"/>
      </w:pPr>
      <w:r>
        <w:rPr>
          <w:color w:val="231F20"/>
          <w:spacing w:val="-2"/>
        </w:rPr>
        <w:t>Powierzchnie</w:t>
      </w:r>
      <w:r>
        <w:rPr>
          <w:color w:val="231F20"/>
          <w:spacing w:val="-2"/>
        </w:rPr>
        <w:t> przeszklone</w:t>
      </w:r>
      <w:r>
        <w:rPr>
          <w:color w:val="231F20"/>
          <w:spacing w:val="-2"/>
        </w:rPr>
        <w:t> powinny</w:t>
      </w:r>
      <w:r>
        <w:rPr>
          <w:color w:val="231F20"/>
          <w:spacing w:val="-2"/>
        </w:rPr>
        <w:t> być</w:t>
      </w:r>
      <w:r>
        <w:rPr>
          <w:color w:val="231F20"/>
          <w:spacing w:val="-2"/>
        </w:rPr>
        <w:t> wyszczególnione,</w:t>
      </w:r>
      <w:r>
        <w:rPr>
          <w:color w:val="231F20"/>
          <w:spacing w:val="-2"/>
        </w:rPr>
        <w:t> jako</w:t>
      </w:r>
      <w:r>
        <w:rPr>
          <w:color w:val="231F20"/>
          <w:spacing w:val="-2"/>
        </w:rPr>
        <w:t> części</w:t>
      </w:r>
      <w:r>
        <w:rPr>
          <w:color w:val="231F20"/>
          <w:spacing w:val="-2"/>
        </w:rPr>
        <w:t> powierzchni</w:t>
      </w:r>
      <w:r>
        <w:rPr>
          <w:color w:val="231F20"/>
          <w:spacing w:val="-2"/>
        </w:rPr>
        <w:t> ściany</w:t>
      </w:r>
      <w:r>
        <w:rPr>
          <w:color w:val="231F20"/>
          <w:spacing w:val="-2"/>
        </w:rPr>
        <w:t> zewnętrznej</w:t>
      </w:r>
      <w:r>
        <w:rPr>
          <w:color w:val="231F20"/>
          <w:spacing w:val="-2"/>
        </w:rPr>
        <w:t> lub </w:t>
      </w:r>
      <w:r>
        <w:rPr>
          <w:color w:val="231F20"/>
        </w:rPr>
        <w:t>powierzchni dachu.</w:t>
      </w:r>
    </w:p>
    <w:p>
      <w:pPr>
        <w:pStyle w:val="BodyText"/>
        <w:spacing w:before="27"/>
      </w:pPr>
    </w:p>
    <w:p>
      <w:pPr>
        <w:pStyle w:val="BodyText"/>
        <w:ind w:left="142"/>
      </w:pPr>
      <w:r>
        <w:rPr>
          <w:color w:val="231F20"/>
          <w:spacing w:val="-6"/>
        </w:rPr>
        <w:t>Do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powierzchni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obudowy</w:t>
      </w:r>
      <w:r>
        <w:rPr>
          <w:color w:val="231F20"/>
        </w:rPr>
        <w:t> </w:t>
      </w:r>
      <w:r>
        <w:rPr>
          <w:color w:val="231F20"/>
          <w:spacing w:val="-6"/>
        </w:rPr>
        <w:t>budynku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nie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wlicza</w:t>
      </w:r>
      <w:r>
        <w:rPr>
          <w:color w:val="231F20"/>
        </w:rPr>
        <w:t> </w:t>
      </w:r>
      <w:r>
        <w:rPr>
          <w:color w:val="231F20"/>
          <w:spacing w:val="-6"/>
        </w:rPr>
        <w:t>się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następujących</w:t>
      </w:r>
      <w:r>
        <w:rPr>
          <w:color w:val="231F20"/>
        </w:rPr>
        <w:t> </w:t>
      </w:r>
      <w:r>
        <w:rPr>
          <w:color w:val="231F20"/>
          <w:spacing w:val="-6"/>
        </w:rPr>
        <w:t>powierzchni:</w:t>
      </w:r>
    </w:p>
    <w:p>
      <w:pPr>
        <w:pStyle w:val="ListParagraph"/>
        <w:numPr>
          <w:ilvl w:val="1"/>
          <w:numId w:val="10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8"/>
          <w:sz w:val="20"/>
        </w:rPr>
        <w:t>elementów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8"/>
          <w:sz w:val="20"/>
        </w:rPr>
        <w:t>budynku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8"/>
          <w:sz w:val="20"/>
        </w:rPr>
        <w:t>poniżej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8"/>
          <w:sz w:val="20"/>
        </w:rPr>
        <w:t>poziomu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8"/>
          <w:sz w:val="20"/>
        </w:rPr>
        <w:t>najniższej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8"/>
          <w:sz w:val="20"/>
        </w:rPr>
        <w:t>kondygnacji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8"/>
          <w:sz w:val="20"/>
        </w:rPr>
        <w:t>(np.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8"/>
          <w:sz w:val="20"/>
        </w:rPr>
        <w:t>części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8"/>
          <w:sz w:val="20"/>
        </w:rPr>
        <w:t>fundamentów);</w:t>
      </w:r>
    </w:p>
    <w:p>
      <w:pPr>
        <w:pStyle w:val="ListParagraph"/>
        <w:numPr>
          <w:ilvl w:val="1"/>
          <w:numId w:val="10"/>
        </w:numPr>
        <w:tabs>
          <w:tab w:pos="480" w:val="left" w:leader="none"/>
          <w:tab w:pos="482" w:val="left" w:leader="none"/>
        </w:tabs>
        <w:spacing w:line="249" w:lineRule="auto" w:before="180" w:after="0"/>
        <w:ind w:left="482" w:right="706" w:hanging="341"/>
        <w:jc w:val="both"/>
        <w:rPr>
          <w:sz w:val="20"/>
        </w:rPr>
      </w:pPr>
      <w:r>
        <w:rPr>
          <w:color w:val="231F20"/>
          <w:spacing w:val="-4"/>
          <w:sz w:val="20"/>
        </w:rPr>
        <w:t>wnęk i pilastrów o funkcjach estetycznych, świetlików w opaskach chodnikowych, schodów zewnętrznych, </w:t>
      </w:r>
      <w:r>
        <w:rPr>
          <w:color w:val="231F20"/>
          <w:spacing w:val="-8"/>
          <w:sz w:val="20"/>
        </w:rPr>
        <w:t>ramp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pochylni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zewnętrznych,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zadaszeń,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markiz,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poziomych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osłon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przeciwsłonecznych,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wysuniętych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części </w:t>
      </w:r>
      <w:r>
        <w:rPr>
          <w:color w:val="231F20"/>
          <w:sz w:val="20"/>
        </w:rPr>
        <w:t>dachu, nasad kominowych itp.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1065" w:val="left" w:leader="none"/>
        </w:tabs>
        <w:spacing w:line="249" w:lineRule="auto" w:before="1" w:after="0"/>
        <w:ind w:left="142" w:right="708" w:firstLine="0"/>
        <w:jc w:val="left"/>
        <w:rPr>
          <w:sz w:val="20"/>
        </w:rPr>
      </w:pPr>
      <w:r>
        <w:rPr>
          <w:color w:val="231F20"/>
          <w:spacing w:val="-4"/>
          <w:sz w:val="20"/>
        </w:rPr>
        <w:t>Do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powierzchni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fundamentów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budynku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wlicza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się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fundamenty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tylko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tych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części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jego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najniższej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kon- </w:t>
      </w:r>
      <w:r>
        <w:rPr>
          <w:color w:val="231F20"/>
          <w:spacing w:val="-2"/>
          <w:sz w:val="20"/>
        </w:rPr>
        <w:t>dygnacji,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które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z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każdej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strony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znajdują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się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poniżej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poziomu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terenu.</w:t>
      </w:r>
    </w:p>
    <w:p>
      <w:pPr>
        <w:pStyle w:val="BodyText"/>
        <w:spacing w:before="26"/>
      </w:pPr>
    </w:p>
    <w:p>
      <w:pPr>
        <w:pStyle w:val="Heading4"/>
        <w:numPr>
          <w:ilvl w:val="2"/>
          <w:numId w:val="3"/>
        </w:numPr>
        <w:tabs>
          <w:tab w:pos="818" w:val="left" w:leader="none"/>
          <w:tab w:pos="822" w:val="left" w:leader="none"/>
        </w:tabs>
        <w:spacing w:line="249" w:lineRule="auto" w:before="0" w:after="0"/>
        <w:ind w:left="822" w:right="762" w:hanging="681"/>
        <w:jc w:val="left"/>
      </w:pPr>
      <w:r>
        <w:rPr>
          <w:color w:val="231F20"/>
        </w:rPr>
        <w:t>Powierzchnia</w:t>
      </w:r>
      <w:r>
        <w:rPr>
          <w:color w:val="231F20"/>
          <w:spacing w:val="-14"/>
        </w:rPr>
        <w:t> </w:t>
      </w:r>
      <w:r>
        <w:rPr>
          <w:color w:val="231F20"/>
        </w:rPr>
        <w:t>nieużyteczna</w:t>
      </w:r>
      <w:r>
        <w:rPr>
          <w:color w:val="231F20"/>
          <w:spacing w:val="-14"/>
        </w:rPr>
        <w:t> </w:t>
      </w:r>
      <w:r>
        <w:rPr>
          <w:color w:val="231F20"/>
        </w:rPr>
        <w:t>budynku</w:t>
      </w:r>
      <w:r>
        <w:rPr>
          <w:color w:val="231F20"/>
          <w:spacing w:val="-14"/>
        </w:rPr>
        <w:t> </w:t>
      </w:r>
      <w:r>
        <w:rPr>
          <w:color w:val="231F20"/>
        </w:rPr>
        <w:t>ze</w:t>
      </w:r>
      <w:r>
        <w:rPr>
          <w:color w:val="231F20"/>
          <w:spacing w:val="-14"/>
        </w:rPr>
        <w:t> </w:t>
      </w:r>
      <w:r>
        <w:rPr>
          <w:color w:val="231F20"/>
        </w:rPr>
        <w:t>względów</w:t>
      </w:r>
      <w:r>
        <w:rPr>
          <w:color w:val="231F20"/>
          <w:spacing w:val="-14"/>
        </w:rPr>
        <w:t> </w:t>
      </w:r>
      <w:r>
        <w:rPr>
          <w:color w:val="231F20"/>
        </w:rPr>
        <w:t>funkcjonalnych</w:t>
      </w:r>
      <w:r>
        <w:rPr>
          <w:color w:val="231F20"/>
          <w:spacing w:val="-14"/>
        </w:rPr>
        <w:t> </w:t>
      </w:r>
      <w:r>
        <w:rPr>
          <w:color w:val="231F20"/>
        </w:rPr>
        <w:t>i</w:t>
      </w:r>
      <w:r>
        <w:rPr>
          <w:color w:val="231F20"/>
          <w:spacing w:val="-14"/>
        </w:rPr>
        <w:t> </w:t>
      </w:r>
      <w:r>
        <w:rPr>
          <w:color w:val="231F20"/>
        </w:rPr>
        <w:t>powierzchnia</w:t>
      </w:r>
      <w:r>
        <w:rPr>
          <w:color w:val="231F20"/>
          <w:spacing w:val="-14"/>
        </w:rPr>
        <w:t> </w:t>
      </w:r>
      <w:r>
        <w:rPr>
          <w:color w:val="231F20"/>
        </w:rPr>
        <w:t>nieużyteczna budynku ze względów konstrukcyjnych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249" w:lineRule="auto"/>
        <w:ind w:left="142" w:right="707"/>
        <w:jc w:val="both"/>
      </w:pPr>
      <w:r>
        <w:rPr>
          <w:color w:val="231F20"/>
          <w:spacing w:val="-4"/>
        </w:rPr>
        <w:t>Powierzchnia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nieużyteczna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budynku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ze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względów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funkcjonalnych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jest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suma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tych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części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powierzchni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użyt- </w:t>
      </w:r>
      <w:r>
        <w:rPr>
          <w:color w:val="231F20"/>
          <w:spacing w:val="-2"/>
        </w:rPr>
        <w:t>kowej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powierzchni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ruchu,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których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nie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stałego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lub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pełnego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dostępu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umożliwiającego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wykonywanie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tam niektórych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czynności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(np.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miejsca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pracy,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miejsca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odpoczynku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itp.),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umeblowanie,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wyposażenie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lub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poruszanie się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ich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obrębie,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stosownie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miejsca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usytuowania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budynku,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sposób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określony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poniżej.</w:t>
      </w:r>
    </w:p>
    <w:p>
      <w:pPr>
        <w:pStyle w:val="ListParagraph"/>
        <w:numPr>
          <w:ilvl w:val="0"/>
          <w:numId w:val="11"/>
        </w:numPr>
        <w:tabs>
          <w:tab w:pos="479" w:val="left" w:leader="none"/>
          <w:tab w:pos="482" w:val="left" w:leader="none"/>
        </w:tabs>
        <w:spacing w:line="249" w:lineRule="auto" w:before="174" w:after="0"/>
        <w:ind w:left="482" w:right="707" w:hanging="341"/>
        <w:jc w:val="both"/>
        <w:rPr>
          <w:sz w:val="20"/>
        </w:rPr>
      </w:pPr>
      <w:r>
        <w:rPr>
          <w:color w:val="231F20"/>
          <w:w w:val="90"/>
          <w:sz w:val="20"/>
        </w:rPr>
        <w:t>Jeżeli słupy, pilastry lub inne elementy budynku ingerują w powierzchnię użytkową i powierzchnia kondygnacji </w:t>
      </w:r>
      <w:r>
        <w:rPr>
          <w:color w:val="231F20"/>
          <w:spacing w:val="-8"/>
          <w:sz w:val="20"/>
        </w:rPr>
        <w:t>między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ingerującymi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elementami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budowlanymi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lub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między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nimi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ścianą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jest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powierzchnią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wymiarach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lub </w:t>
      </w:r>
      <w:r>
        <w:rPr>
          <w:color w:val="231F20"/>
          <w:spacing w:val="-4"/>
          <w:sz w:val="20"/>
        </w:rPr>
        <w:t>kształcie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uniemożliwiającym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jej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efektywne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umeblowanie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lub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wykorzystanie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na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potrzeby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funkcji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użytkowych,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taka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powierzchnia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kondygnacji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jest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powierzchnią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nieużyteczną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budynku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ze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względów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funkcjonalnych </w:t>
      </w:r>
      <w:r>
        <w:rPr>
          <w:color w:val="231F20"/>
          <w:sz w:val="20"/>
        </w:rPr>
        <w:t>(patrz Rysunki 3, 4, 5 </w:t>
      </w:r>
      <w:r>
        <w:rPr>
          <w:color w:val="006FC0"/>
          <w:sz w:val="20"/>
        </w:rPr>
        <w:t>i </w:t>
      </w:r>
      <w:r>
        <w:rPr>
          <w:color w:val="231F20"/>
          <w:sz w:val="20"/>
        </w:rPr>
        <w:t>6).</w:t>
      </w:r>
    </w:p>
    <w:p>
      <w:pPr>
        <w:pStyle w:val="BodyText"/>
        <w:spacing w:before="33"/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2154482</wp:posOffset>
            </wp:positionH>
            <wp:positionV relativeFrom="paragraph">
              <wp:posOffset>182546</wp:posOffset>
            </wp:positionV>
            <wp:extent cx="2866643" cy="1789176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43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1"/>
      </w:pPr>
    </w:p>
    <w:p>
      <w:pPr>
        <w:spacing w:before="0"/>
        <w:ind w:left="14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12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funkcjonalnych</w:t>
      </w:r>
    </w:p>
    <w:p>
      <w:pPr>
        <w:pStyle w:val="ListParagraph"/>
        <w:numPr>
          <w:ilvl w:val="0"/>
          <w:numId w:val="12"/>
        </w:numPr>
        <w:tabs>
          <w:tab w:pos="482" w:val="left" w:leader="none"/>
        </w:tabs>
        <w:spacing w:line="240" w:lineRule="auto" w:before="69" w:after="0"/>
        <w:ind w:left="482" w:right="0" w:hanging="340"/>
        <w:jc w:val="left"/>
        <w:rPr>
          <w:sz w:val="18"/>
        </w:rPr>
      </w:pPr>
      <w:r>
        <w:rPr>
          <w:color w:val="231F20"/>
          <w:sz w:val="18"/>
        </w:rPr>
        <w:t>obszar </w:t>
      </w:r>
      <w:r>
        <w:rPr>
          <w:color w:val="231F20"/>
          <w:spacing w:val="-2"/>
          <w:sz w:val="18"/>
        </w:rPr>
        <w:t>ingerencji</w:t>
      </w:r>
    </w:p>
    <w:p>
      <w:pPr>
        <w:pStyle w:val="ListParagraph"/>
        <w:numPr>
          <w:ilvl w:val="0"/>
          <w:numId w:val="12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konstrukcyjnych</w:t>
      </w:r>
    </w:p>
    <w:p>
      <w:pPr>
        <w:pStyle w:val="ListParagraph"/>
        <w:numPr>
          <w:ilvl w:val="0"/>
          <w:numId w:val="12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2"/>
          <w:w w:val="80"/>
          <w:sz w:val="18"/>
        </w:rPr>
        <w:t>ingerująca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w w:val="80"/>
          <w:sz w:val="18"/>
        </w:rPr>
        <w:t>część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w w:val="80"/>
          <w:sz w:val="18"/>
        </w:rPr>
        <w:t>elementu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ind w:left="1237"/>
      </w:pPr>
      <w:r>
        <w:rPr>
          <w:color w:val="231F20"/>
        </w:rPr>
        <w:t>Rysunek</w:t>
      </w:r>
      <w:r>
        <w:rPr>
          <w:color w:val="231F20"/>
          <w:spacing w:val="-6"/>
        </w:rPr>
        <w:t> </w:t>
      </w:r>
      <w:r>
        <w:rPr>
          <w:color w:val="231F20"/>
        </w:rPr>
        <w:t>3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Ingerencja</w:t>
      </w:r>
      <w:r>
        <w:rPr>
          <w:color w:val="231F20"/>
          <w:spacing w:val="-4"/>
        </w:rPr>
        <w:t> </w:t>
      </w:r>
      <w:r>
        <w:rPr>
          <w:color w:val="231F20"/>
        </w:rPr>
        <w:t>pilastrów</w:t>
      </w:r>
      <w:r>
        <w:rPr>
          <w:color w:val="231F20"/>
          <w:spacing w:val="-4"/>
        </w:rPr>
        <w:t> </w:t>
      </w:r>
      <w:r>
        <w:rPr>
          <w:color w:val="231F20"/>
        </w:rPr>
        <w:t>wymusza</w:t>
      </w:r>
      <w:r>
        <w:rPr>
          <w:color w:val="231F20"/>
          <w:spacing w:val="-4"/>
        </w:rPr>
        <w:t> </w:t>
      </w:r>
      <w:r>
        <w:rPr>
          <w:color w:val="231F20"/>
        </w:rPr>
        <w:t>odsunięcie</w:t>
      </w:r>
      <w:r>
        <w:rPr>
          <w:color w:val="231F20"/>
          <w:spacing w:val="-4"/>
        </w:rPr>
        <w:t> </w:t>
      </w:r>
      <w:r>
        <w:rPr>
          <w:color w:val="231F20"/>
        </w:rPr>
        <w:t>miejsc</w:t>
      </w:r>
      <w:r>
        <w:rPr>
          <w:color w:val="231F20"/>
          <w:spacing w:val="-4"/>
        </w:rPr>
        <w:t> </w:t>
      </w:r>
      <w:r>
        <w:rPr>
          <w:color w:val="231F20"/>
        </w:rPr>
        <w:t>pracy</w:t>
      </w:r>
      <w:r>
        <w:rPr>
          <w:color w:val="231F20"/>
          <w:spacing w:val="-4"/>
        </w:rPr>
        <w:t> </w:t>
      </w:r>
      <w:r>
        <w:rPr>
          <w:color w:val="231F20"/>
        </w:rPr>
        <w:t>od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ściany</w:t>
      </w:r>
    </w:p>
    <w:p>
      <w:pPr>
        <w:pStyle w:val="Heading4"/>
        <w:spacing w:after="0"/>
        <w:sectPr>
          <w:pgSz w:w="11910" w:h="16840"/>
          <w:pgMar w:header="0" w:footer="512" w:top="1240" w:bottom="700" w:left="708" w:right="708"/>
        </w:sectPr>
      </w:pPr>
    </w:p>
    <w:p>
      <w:pPr>
        <w:pStyle w:val="BodyText"/>
        <w:spacing w:before="79"/>
        <w:rPr>
          <w:rFonts w:ascii="Arial"/>
          <w:b/>
        </w:rPr>
      </w:pPr>
    </w:p>
    <w:p>
      <w:pPr>
        <w:pStyle w:val="BodyText"/>
        <w:ind w:left="3278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2866644" cy="198882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44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spacing w:before="64"/>
        <w:rPr>
          <w:rFonts w:ascii="Arial"/>
          <w:b/>
          <w:sz w:val="18"/>
        </w:rPr>
      </w:pPr>
    </w:p>
    <w:p>
      <w:pPr>
        <w:spacing w:before="0"/>
        <w:ind w:left="70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1"/>
          <w:numId w:val="12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funkcjonalnych</w:t>
      </w:r>
    </w:p>
    <w:p>
      <w:pPr>
        <w:pStyle w:val="ListParagraph"/>
        <w:numPr>
          <w:ilvl w:val="1"/>
          <w:numId w:val="12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z w:val="18"/>
        </w:rPr>
        <w:t>obszar </w:t>
      </w:r>
      <w:r>
        <w:rPr>
          <w:color w:val="231F20"/>
          <w:spacing w:val="-2"/>
          <w:sz w:val="18"/>
        </w:rPr>
        <w:t>ingerencji</w:t>
      </w:r>
    </w:p>
    <w:p>
      <w:pPr>
        <w:pStyle w:val="ListParagraph"/>
        <w:numPr>
          <w:ilvl w:val="1"/>
          <w:numId w:val="12"/>
        </w:numPr>
        <w:tabs>
          <w:tab w:pos="1049" w:val="left" w:leader="none"/>
        </w:tabs>
        <w:spacing w:line="240" w:lineRule="auto" w:before="69" w:after="0"/>
        <w:ind w:left="1049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konstrukcyjnych</w:t>
      </w:r>
    </w:p>
    <w:p>
      <w:pPr>
        <w:pStyle w:val="ListParagraph"/>
        <w:numPr>
          <w:ilvl w:val="1"/>
          <w:numId w:val="12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pacing w:val="-2"/>
          <w:w w:val="80"/>
          <w:sz w:val="18"/>
        </w:rPr>
        <w:t>ingerująca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w w:val="80"/>
          <w:sz w:val="18"/>
        </w:rPr>
        <w:t>część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w w:val="80"/>
          <w:sz w:val="18"/>
        </w:rPr>
        <w:t>elementu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spacing w:line="249" w:lineRule="auto" w:before="1"/>
        <w:ind w:left="1248" w:right="679"/>
        <w:jc w:val="center"/>
      </w:pPr>
      <w:r>
        <w:rPr>
          <w:color w:val="231F20"/>
        </w:rPr>
        <w:t>Rysunek</w:t>
      </w:r>
      <w:r>
        <w:rPr>
          <w:color w:val="231F20"/>
          <w:spacing w:val="-5"/>
        </w:rPr>
        <w:t> </w:t>
      </w:r>
      <w:r>
        <w:rPr>
          <w:color w:val="231F20"/>
        </w:rPr>
        <w:t>4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Ingerencja</w:t>
      </w:r>
      <w:r>
        <w:rPr>
          <w:color w:val="231F20"/>
          <w:spacing w:val="-5"/>
        </w:rPr>
        <w:t> </w:t>
      </w:r>
      <w:r>
        <w:rPr>
          <w:color w:val="231F20"/>
        </w:rPr>
        <w:t>pilastrów</w:t>
      </w:r>
      <w:r>
        <w:rPr>
          <w:color w:val="231F20"/>
          <w:spacing w:val="-5"/>
        </w:rPr>
        <w:t> </w:t>
      </w:r>
      <w:r>
        <w:rPr>
          <w:color w:val="231F20"/>
        </w:rPr>
        <w:t>wymusza</w:t>
      </w:r>
      <w:r>
        <w:rPr>
          <w:color w:val="231F20"/>
          <w:spacing w:val="-5"/>
        </w:rPr>
        <w:t> </w:t>
      </w:r>
      <w:r>
        <w:rPr>
          <w:color w:val="231F20"/>
        </w:rPr>
        <w:t>ograniczenie</w:t>
      </w:r>
      <w:r>
        <w:rPr>
          <w:color w:val="231F20"/>
          <w:spacing w:val="-5"/>
        </w:rPr>
        <w:t> </w:t>
      </w:r>
      <w:r>
        <w:rPr>
          <w:color w:val="231F20"/>
        </w:rPr>
        <w:t>funkcjonalności</w:t>
      </w:r>
      <w:r>
        <w:rPr>
          <w:color w:val="231F20"/>
          <w:spacing w:val="-5"/>
        </w:rPr>
        <w:t> </w:t>
      </w:r>
      <w:r>
        <w:rPr>
          <w:color w:val="231F20"/>
        </w:rPr>
        <w:t>fragmentu pokoju biurowego</w:t>
      </w:r>
    </w:p>
    <w:p>
      <w:pPr>
        <w:pStyle w:val="BodyText"/>
        <w:spacing w:before="21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2518293</wp:posOffset>
            </wp:positionH>
            <wp:positionV relativeFrom="paragraph">
              <wp:posOffset>174914</wp:posOffset>
            </wp:positionV>
            <wp:extent cx="2872739" cy="1827276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39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1"/>
        <w:rPr>
          <w:rFonts w:ascii="Arial"/>
          <w:b/>
        </w:rPr>
      </w:pPr>
    </w:p>
    <w:p>
      <w:pPr>
        <w:spacing w:before="0"/>
        <w:ind w:left="70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13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pacing w:val="-4"/>
          <w:sz w:val="18"/>
        </w:rPr>
        <w:t>obszar ingerencji/powierzchnia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nieużyteczna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ze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względów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konstrukcyjnych</w:t>
      </w:r>
    </w:p>
    <w:p>
      <w:pPr>
        <w:pStyle w:val="ListParagraph"/>
        <w:numPr>
          <w:ilvl w:val="0"/>
          <w:numId w:val="13"/>
        </w:numPr>
        <w:tabs>
          <w:tab w:pos="1049" w:val="left" w:leader="none"/>
        </w:tabs>
        <w:spacing w:line="240" w:lineRule="auto" w:before="69" w:after="0"/>
        <w:ind w:left="1049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funkcjonalnych</w:t>
      </w:r>
    </w:p>
    <w:p>
      <w:pPr>
        <w:pStyle w:val="ListParagraph"/>
        <w:numPr>
          <w:ilvl w:val="0"/>
          <w:numId w:val="13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konstrukcyjnych</w:t>
      </w:r>
    </w:p>
    <w:p>
      <w:pPr>
        <w:pStyle w:val="ListParagraph"/>
        <w:numPr>
          <w:ilvl w:val="0"/>
          <w:numId w:val="13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pacing w:val="-2"/>
          <w:w w:val="80"/>
          <w:sz w:val="18"/>
        </w:rPr>
        <w:t>ingerująca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w w:val="80"/>
          <w:sz w:val="18"/>
        </w:rPr>
        <w:t>część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w w:val="80"/>
          <w:sz w:val="18"/>
        </w:rPr>
        <w:t>elementu</w:t>
      </w:r>
    </w:p>
    <w:p>
      <w:pPr>
        <w:pStyle w:val="ListParagraph"/>
        <w:numPr>
          <w:ilvl w:val="0"/>
          <w:numId w:val="13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pacing w:val="-2"/>
          <w:sz w:val="18"/>
        </w:rPr>
        <w:t>grzejnik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spacing w:line="249" w:lineRule="auto"/>
        <w:ind w:left="1554" w:right="985"/>
        <w:jc w:val="center"/>
      </w:pPr>
      <w:r>
        <w:rPr>
          <w:color w:val="231F20"/>
        </w:rPr>
        <w:t>Rysunek</w:t>
      </w:r>
      <w:r>
        <w:rPr>
          <w:color w:val="231F20"/>
          <w:spacing w:val="-5"/>
        </w:rPr>
        <w:t> </w:t>
      </w:r>
      <w:r>
        <w:rPr>
          <w:color w:val="231F20"/>
        </w:rPr>
        <w:t>5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Zróżnicowane</w:t>
      </w:r>
      <w:r>
        <w:rPr>
          <w:color w:val="231F20"/>
          <w:spacing w:val="-5"/>
        </w:rPr>
        <w:t> </w:t>
      </w:r>
      <w:r>
        <w:rPr>
          <w:color w:val="231F20"/>
        </w:rPr>
        <w:t>wielkości</w:t>
      </w:r>
      <w:r>
        <w:rPr>
          <w:color w:val="231F20"/>
          <w:spacing w:val="-5"/>
        </w:rPr>
        <w:t> </w:t>
      </w:r>
      <w:r>
        <w:rPr>
          <w:color w:val="231F20"/>
        </w:rPr>
        <w:t>przekrojów</w:t>
      </w:r>
      <w:r>
        <w:rPr>
          <w:color w:val="231F20"/>
          <w:spacing w:val="-5"/>
        </w:rPr>
        <w:t> </w:t>
      </w:r>
      <w:r>
        <w:rPr>
          <w:color w:val="231F20"/>
        </w:rPr>
        <w:t>ingerujących</w:t>
      </w:r>
      <w:r>
        <w:rPr>
          <w:color w:val="231F20"/>
          <w:spacing w:val="-5"/>
        </w:rPr>
        <w:t> </w:t>
      </w:r>
      <w:r>
        <w:rPr>
          <w:color w:val="231F20"/>
        </w:rPr>
        <w:t>pilastrów</w:t>
      </w:r>
      <w:r>
        <w:rPr>
          <w:color w:val="231F20"/>
          <w:spacing w:val="-5"/>
        </w:rPr>
        <w:t> </w:t>
      </w:r>
      <w:r>
        <w:rPr>
          <w:color w:val="231F20"/>
        </w:rPr>
        <w:t>wymuszają umieszczenie miejsc pracy dalej od ściany</w:t>
      </w:r>
    </w:p>
    <w:p>
      <w:pPr>
        <w:pStyle w:val="Heading4"/>
        <w:spacing w:after="0" w:line="249" w:lineRule="auto"/>
        <w:jc w:val="center"/>
        <w:sectPr>
          <w:pgSz w:w="11910" w:h="16840"/>
          <w:pgMar w:header="0" w:footer="512" w:top="1240" w:bottom="700" w:left="708" w:right="708"/>
        </w:sectPr>
      </w:pPr>
    </w:p>
    <w:p>
      <w:pPr>
        <w:pStyle w:val="BodyText"/>
        <w:spacing w:before="64" w:after="1"/>
        <w:rPr>
          <w:rFonts w:ascii="Arial"/>
          <w:b/>
        </w:rPr>
      </w:pPr>
    </w:p>
    <w:p>
      <w:pPr>
        <w:pStyle w:val="BodyText"/>
        <w:ind w:left="2561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3041903" cy="1827276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3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spacing w:before="81"/>
        <w:rPr>
          <w:rFonts w:ascii="Arial"/>
          <w:b/>
          <w:sz w:val="18"/>
        </w:rPr>
      </w:pPr>
    </w:p>
    <w:p>
      <w:pPr>
        <w:spacing w:before="0"/>
        <w:ind w:left="14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14"/>
        </w:numPr>
        <w:tabs>
          <w:tab w:pos="482" w:val="left" w:leader="none"/>
        </w:tabs>
        <w:spacing w:line="240" w:lineRule="auto" w:before="69" w:after="0"/>
        <w:ind w:left="482" w:right="0" w:hanging="340"/>
        <w:jc w:val="left"/>
        <w:rPr>
          <w:sz w:val="18"/>
        </w:rPr>
      </w:pPr>
      <w:r>
        <w:rPr>
          <w:color w:val="231F20"/>
          <w:spacing w:val="-4"/>
          <w:sz w:val="18"/>
        </w:rPr>
        <w:t>obszar ingerencji/powierzchnia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nieużyteczna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ze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względów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konstrukcyjnych</w:t>
      </w:r>
    </w:p>
    <w:p>
      <w:pPr>
        <w:pStyle w:val="ListParagraph"/>
        <w:numPr>
          <w:ilvl w:val="0"/>
          <w:numId w:val="14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funkcjonalnych</w:t>
      </w:r>
    </w:p>
    <w:p>
      <w:pPr>
        <w:pStyle w:val="ListParagraph"/>
        <w:numPr>
          <w:ilvl w:val="0"/>
          <w:numId w:val="14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konstrukcyjnych</w:t>
      </w:r>
    </w:p>
    <w:p>
      <w:pPr>
        <w:pStyle w:val="ListParagraph"/>
        <w:numPr>
          <w:ilvl w:val="0"/>
          <w:numId w:val="14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2"/>
          <w:w w:val="80"/>
          <w:sz w:val="18"/>
        </w:rPr>
        <w:t>ingerująca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w w:val="80"/>
          <w:sz w:val="18"/>
        </w:rPr>
        <w:t>część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w w:val="80"/>
          <w:sz w:val="18"/>
        </w:rPr>
        <w:t>elementu</w:t>
      </w:r>
    </w:p>
    <w:p>
      <w:pPr>
        <w:pStyle w:val="ListParagraph"/>
        <w:numPr>
          <w:ilvl w:val="0"/>
          <w:numId w:val="14"/>
        </w:numPr>
        <w:tabs>
          <w:tab w:pos="482" w:val="left" w:leader="none"/>
        </w:tabs>
        <w:spacing w:line="240" w:lineRule="auto" w:before="69" w:after="0"/>
        <w:ind w:left="482" w:right="0" w:hanging="340"/>
        <w:jc w:val="left"/>
        <w:rPr>
          <w:sz w:val="18"/>
        </w:rPr>
      </w:pPr>
      <w:r>
        <w:rPr>
          <w:color w:val="231F20"/>
          <w:spacing w:val="-2"/>
          <w:sz w:val="18"/>
        </w:rPr>
        <w:t>grzejnik</w:t>
      </w:r>
    </w:p>
    <w:p>
      <w:pPr>
        <w:pStyle w:val="BodyText"/>
        <w:spacing w:before="63"/>
        <w:rPr>
          <w:sz w:val="18"/>
        </w:rPr>
      </w:pPr>
    </w:p>
    <w:p>
      <w:pPr>
        <w:pStyle w:val="Heading4"/>
        <w:ind w:left="160"/>
      </w:pPr>
      <w:r>
        <w:rPr>
          <w:color w:val="231F20"/>
        </w:rPr>
        <w:t>Rysunek</w:t>
      </w:r>
      <w:r>
        <w:rPr>
          <w:color w:val="231F20"/>
          <w:spacing w:val="-3"/>
        </w:rPr>
        <w:t> </w:t>
      </w:r>
      <w:r>
        <w:rPr>
          <w:color w:val="231F20"/>
        </w:rPr>
        <w:t>6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Zróżnicowane</w:t>
      </w:r>
      <w:r>
        <w:rPr>
          <w:color w:val="231F20"/>
          <w:spacing w:val="-2"/>
        </w:rPr>
        <w:t> </w:t>
      </w:r>
      <w:r>
        <w:rPr>
          <w:color w:val="231F20"/>
        </w:rPr>
        <w:t>wielkości</w:t>
      </w:r>
      <w:r>
        <w:rPr>
          <w:color w:val="231F20"/>
          <w:spacing w:val="-2"/>
        </w:rPr>
        <w:t> </w:t>
      </w:r>
      <w:r>
        <w:rPr>
          <w:color w:val="231F20"/>
        </w:rPr>
        <w:t>przekrojów</w:t>
      </w:r>
      <w:r>
        <w:rPr>
          <w:color w:val="231F20"/>
          <w:spacing w:val="-2"/>
        </w:rPr>
        <w:t> </w:t>
      </w:r>
      <w:r>
        <w:rPr>
          <w:color w:val="231F20"/>
        </w:rPr>
        <w:t>ingerujących</w:t>
      </w:r>
      <w:r>
        <w:rPr>
          <w:color w:val="231F20"/>
          <w:spacing w:val="-2"/>
        </w:rPr>
        <w:t> </w:t>
      </w:r>
      <w:r>
        <w:rPr>
          <w:color w:val="231F20"/>
        </w:rPr>
        <w:t>pilastrów</w:t>
      </w:r>
      <w:r>
        <w:rPr>
          <w:color w:val="231F20"/>
          <w:spacing w:val="-2"/>
        </w:rPr>
        <w:t> </w:t>
      </w:r>
      <w:r>
        <w:rPr>
          <w:color w:val="231F20"/>
        </w:rPr>
        <w:t>w</w:t>
      </w:r>
      <w:r>
        <w:rPr>
          <w:color w:val="231F20"/>
          <w:spacing w:val="-2"/>
        </w:rPr>
        <w:t> </w:t>
      </w:r>
      <w:r>
        <w:rPr>
          <w:color w:val="231F20"/>
        </w:rPr>
        <w:t>obrębie</w:t>
      </w:r>
      <w:r>
        <w:rPr>
          <w:color w:val="231F20"/>
          <w:spacing w:val="-2"/>
        </w:rPr>
        <w:t> </w:t>
      </w:r>
      <w:r>
        <w:rPr>
          <w:color w:val="231F20"/>
        </w:rPr>
        <w:t>pokoju</w:t>
      </w:r>
      <w:r>
        <w:rPr>
          <w:color w:val="231F20"/>
          <w:spacing w:val="-2"/>
        </w:rPr>
        <w:t> biurowego</w:t>
      </w:r>
    </w:p>
    <w:p>
      <w:pPr>
        <w:pStyle w:val="BodyText"/>
        <w:spacing w:before="63"/>
        <w:rPr>
          <w:rFonts w:ascii="Arial"/>
          <w:b/>
        </w:rPr>
      </w:pPr>
    </w:p>
    <w:p>
      <w:pPr>
        <w:pStyle w:val="ListParagraph"/>
        <w:numPr>
          <w:ilvl w:val="0"/>
          <w:numId w:val="11"/>
        </w:numPr>
        <w:tabs>
          <w:tab w:pos="479" w:val="left" w:leader="none"/>
          <w:tab w:pos="482" w:val="left" w:leader="none"/>
        </w:tabs>
        <w:spacing w:line="249" w:lineRule="auto" w:before="0" w:after="0"/>
        <w:ind w:left="482" w:right="708" w:hanging="341"/>
        <w:jc w:val="both"/>
        <w:rPr>
          <w:sz w:val="20"/>
        </w:rPr>
      </w:pPr>
      <w:r>
        <w:rPr>
          <w:color w:val="231F20"/>
          <w:w w:val="90"/>
          <w:sz w:val="20"/>
        </w:rPr>
        <w:t>Jeżeli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część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powierzchni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kondygnacji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powinna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pozostać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niezajęta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ze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względu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na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konieczność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zapewnienia </w:t>
      </w:r>
      <w:r>
        <w:rPr>
          <w:color w:val="231F20"/>
          <w:sz w:val="20"/>
        </w:rPr>
        <w:t>odpowiedniego dojścia lub obsługi:</w:t>
      </w:r>
    </w:p>
    <w:p>
      <w:pPr>
        <w:pStyle w:val="ListParagraph"/>
        <w:numPr>
          <w:ilvl w:val="1"/>
          <w:numId w:val="11"/>
        </w:numPr>
        <w:tabs>
          <w:tab w:pos="822" w:val="left" w:leader="none"/>
        </w:tabs>
        <w:spacing w:line="240" w:lineRule="auto" w:before="172" w:after="0"/>
        <w:ind w:left="822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słupów,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sz w:val="20"/>
        </w:rPr>
        <w:t>pilastrów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sz w:val="20"/>
        </w:rPr>
        <w:t>lub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sz w:val="20"/>
        </w:rPr>
        <w:t>innych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sz w:val="20"/>
        </w:rPr>
        <w:t>elementów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4"/>
          <w:sz w:val="20"/>
        </w:rPr>
        <w:t>ingerujących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sz w:val="20"/>
        </w:rPr>
        <w:t>w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sz w:val="20"/>
        </w:rPr>
        <w:t>powierzchnię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sz w:val="20"/>
        </w:rPr>
        <w:t>użytkową,</w:t>
      </w:r>
    </w:p>
    <w:p>
      <w:pPr>
        <w:pStyle w:val="ListParagraph"/>
        <w:numPr>
          <w:ilvl w:val="1"/>
          <w:numId w:val="11"/>
        </w:numPr>
        <w:tabs>
          <w:tab w:pos="822" w:val="left" w:leader="none"/>
        </w:tabs>
        <w:spacing w:line="240" w:lineRule="auto" w:before="180" w:after="0"/>
        <w:ind w:left="822" w:right="0" w:hanging="340"/>
        <w:jc w:val="left"/>
        <w:rPr>
          <w:sz w:val="20"/>
        </w:rPr>
      </w:pPr>
      <w:r>
        <w:rPr>
          <w:color w:val="231F20"/>
          <w:spacing w:val="-2"/>
          <w:sz w:val="20"/>
        </w:rPr>
        <w:t>regulatorów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dopływu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ciepła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lub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innych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urządzeń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przymocowanych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podłogi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lub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ściany,</w:t>
      </w:r>
    </w:p>
    <w:p>
      <w:pPr>
        <w:pStyle w:val="ListParagraph"/>
        <w:numPr>
          <w:ilvl w:val="1"/>
          <w:numId w:val="11"/>
        </w:numPr>
        <w:tabs>
          <w:tab w:pos="822" w:val="left" w:leader="none"/>
        </w:tabs>
        <w:spacing w:line="240" w:lineRule="auto" w:before="180" w:after="0"/>
        <w:ind w:left="822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wewnętrznych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urządzeń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technicznych,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umieszczonych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w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kanałach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szybach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instalacyjnych,</w:t>
      </w:r>
    </w:p>
    <w:p>
      <w:pPr>
        <w:pStyle w:val="ListParagraph"/>
        <w:numPr>
          <w:ilvl w:val="1"/>
          <w:numId w:val="11"/>
        </w:numPr>
        <w:tabs>
          <w:tab w:pos="822" w:val="left" w:leader="none"/>
        </w:tabs>
        <w:spacing w:line="240" w:lineRule="auto" w:before="180" w:after="0"/>
        <w:ind w:left="822" w:right="0" w:hanging="340"/>
        <w:jc w:val="left"/>
        <w:rPr>
          <w:sz w:val="20"/>
        </w:rPr>
      </w:pPr>
      <w:r>
        <w:rPr>
          <w:color w:val="231F20"/>
          <w:spacing w:val="-2"/>
          <w:sz w:val="20"/>
        </w:rPr>
        <w:t>tablicy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rozdzielczej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w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ścianie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lub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drzwiczek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rewizyjnych,</w:t>
      </w:r>
    </w:p>
    <w:p>
      <w:pPr>
        <w:pStyle w:val="ListParagraph"/>
        <w:numPr>
          <w:ilvl w:val="1"/>
          <w:numId w:val="11"/>
        </w:numPr>
        <w:tabs>
          <w:tab w:pos="822" w:val="left" w:leader="none"/>
        </w:tabs>
        <w:spacing w:line="240" w:lineRule="auto" w:before="180" w:after="0"/>
        <w:ind w:left="822" w:right="0" w:hanging="340"/>
        <w:jc w:val="left"/>
        <w:rPr>
          <w:sz w:val="20"/>
        </w:rPr>
      </w:pPr>
      <w:r>
        <w:rPr>
          <w:color w:val="231F20"/>
          <w:spacing w:val="-2"/>
          <w:sz w:val="20"/>
        </w:rPr>
        <w:t>okna,</w:t>
      </w:r>
    </w:p>
    <w:p>
      <w:pPr>
        <w:pStyle w:val="BodyText"/>
        <w:spacing w:line="249" w:lineRule="auto" w:before="180"/>
        <w:ind w:left="482"/>
      </w:pPr>
      <w:r>
        <w:rPr>
          <w:color w:val="231F20"/>
          <w:spacing w:val="-4"/>
        </w:rPr>
        <w:t>lub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konieczności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zapewnienia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obsługi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tych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elementów,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taka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powierzchnia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kondygnacji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jest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powierzchnią </w:t>
      </w:r>
      <w:r>
        <w:rPr>
          <w:color w:val="231F20"/>
        </w:rPr>
        <w:t>nieużyteczną</w:t>
      </w:r>
      <w:r>
        <w:rPr>
          <w:color w:val="231F20"/>
          <w:spacing w:val="-14"/>
        </w:rPr>
        <w:t> </w:t>
      </w:r>
      <w:r>
        <w:rPr>
          <w:color w:val="231F20"/>
        </w:rPr>
        <w:t>budynku</w:t>
      </w:r>
      <w:r>
        <w:rPr>
          <w:color w:val="231F20"/>
          <w:spacing w:val="-14"/>
        </w:rPr>
        <w:t> </w:t>
      </w:r>
      <w:r>
        <w:rPr>
          <w:color w:val="231F20"/>
        </w:rPr>
        <w:t>ze</w:t>
      </w:r>
      <w:r>
        <w:rPr>
          <w:color w:val="231F20"/>
          <w:spacing w:val="-14"/>
        </w:rPr>
        <w:t> </w:t>
      </w:r>
      <w:r>
        <w:rPr>
          <w:color w:val="231F20"/>
        </w:rPr>
        <w:t>względów</w:t>
      </w:r>
      <w:r>
        <w:rPr>
          <w:color w:val="231F20"/>
          <w:spacing w:val="-14"/>
        </w:rPr>
        <w:t> </w:t>
      </w:r>
      <w:r>
        <w:rPr>
          <w:color w:val="231F20"/>
        </w:rPr>
        <w:t>funkcjonalnych</w:t>
      </w:r>
      <w:r>
        <w:rPr>
          <w:color w:val="231F20"/>
          <w:spacing w:val="-14"/>
        </w:rPr>
        <w:t> </w:t>
      </w:r>
      <w:r>
        <w:rPr>
          <w:color w:val="231F20"/>
        </w:rPr>
        <w:t>(patrz</w:t>
      </w:r>
      <w:r>
        <w:rPr>
          <w:color w:val="231F20"/>
          <w:spacing w:val="-14"/>
        </w:rPr>
        <w:t> </w:t>
      </w:r>
      <w:r>
        <w:rPr>
          <w:color w:val="231F20"/>
        </w:rPr>
        <w:t>Rysunki</w:t>
      </w:r>
      <w:r>
        <w:rPr>
          <w:color w:val="231F20"/>
          <w:spacing w:val="-14"/>
        </w:rPr>
        <w:t> </w:t>
      </w:r>
      <w:r>
        <w:rPr>
          <w:color w:val="231F20"/>
        </w:rPr>
        <w:t>7,</w:t>
      </w:r>
      <w:r>
        <w:rPr>
          <w:color w:val="231F20"/>
          <w:spacing w:val="-14"/>
        </w:rPr>
        <w:t> </w:t>
      </w:r>
      <w:r>
        <w:rPr>
          <w:color w:val="231F20"/>
        </w:rPr>
        <w:t>8</w:t>
      </w:r>
      <w:r>
        <w:rPr>
          <w:color w:val="231F20"/>
          <w:spacing w:val="-14"/>
        </w:rPr>
        <w:t> </w:t>
      </w: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color w:val="231F20"/>
        </w:rPr>
        <w:t>9).</w:t>
      </w:r>
    </w:p>
    <w:p>
      <w:pPr>
        <w:pStyle w:val="ListParagraph"/>
        <w:numPr>
          <w:ilvl w:val="0"/>
          <w:numId w:val="11"/>
        </w:numPr>
        <w:tabs>
          <w:tab w:pos="480" w:val="left" w:leader="none"/>
          <w:tab w:pos="482" w:val="left" w:leader="none"/>
        </w:tabs>
        <w:spacing w:line="249" w:lineRule="auto" w:before="172" w:after="0"/>
        <w:ind w:left="482" w:right="706" w:hanging="341"/>
        <w:jc w:val="both"/>
        <w:rPr>
          <w:sz w:val="20"/>
        </w:rPr>
      </w:pPr>
      <w:r>
        <w:rPr>
          <w:color w:val="231F20"/>
          <w:w w:val="85"/>
          <w:sz w:val="20"/>
        </w:rPr>
        <w:t>Jeżeli część powierzchni użytkowej, większa niż 30 cm</w:t>
      </w:r>
      <w:r>
        <w:rPr>
          <w:color w:val="231F20"/>
          <w:w w:val="85"/>
          <w:sz w:val="20"/>
          <w:vertAlign w:val="superscript"/>
        </w:rPr>
        <w:t>2</w:t>
      </w:r>
      <w:r>
        <w:rPr>
          <w:color w:val="231F20"/>
          <w:w w:val="85"/>
          <w:sz w:val="20"/>
          <w:vertAlign w:val="baseline"/>
        </w:rPr>
        <w:t>, powinna pozostać niezajęta ze względu na istniejący </w:t>
      </w:r>
      <w:r>
        <w:rPr>
          <w:color w:val="231F20"/>
          <w:w w:val="90"/>
          <w:sz w:val="20"/>
          <w:vertAlign w:val="baseline"/>
        </w:rPr>
        <w:t>przewód lub konieczność umożliwienia dojścia i obsługi urządzeń technicznych znajdujących się pod pod- </w:t>
      </w:r>
      <w:r>
        <w:rPr>
          <w:color w:val="231F20"/>
          <w:spacing w:val="-8"/>
          <w:sz w:val="20"/>
          <w:vertAlign w:val="baseline"/>
        </w:rPr>
        <w:t>łogą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8"/>
          <w:sz w:val="20"/>
          <w:vertAlign w:val="baseline"/>
        </w:rPr>
        <w:t>podniesioną,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8"/>
          <w:sz w:val="20"/>
          <w:vertAlign w:val="baseline"/>
        </w:rPr>
        <w:t>to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8"/>
          <w:sz w:val="20"/>
          <w:vertAlign w:val="baseline"/>
        </w:rPr>
        <w:t>taka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8"/>
          <w:sz w:val="20"/>
          <w:vertAlign w:val="baseline"/>
        </w:rPr>
        <w:t>powierzchnia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8"/>
          <w:sz w:val="20"/>
          <w:vertAlign w:val="baseline"/>
        </w:rPr>
        <w:t>kondygnacji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8"/>
          <w:sz w:val="20"/>
          <w:vertAlign w:val="baseline"/>
        </w:rPr>
        <w:t>jest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8"/>
          <w:sz w:val="20"/>
          <w:vertAlign w:val="baseline"/>
        </w:rPr>
        <w:t>powierzchnią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8"/>
          <w:sz w:val="20"/>
          <w:vertAlign w:val="baseline"/>
        </w:rPr>
        <w:t>nieużyteczną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8"/>
          <w:sz w:val="20"/>
          <w:vertAlign w:val="baseline"/>
        </w:rPr>
        <w:t>budynku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8"/>
          <w:sz w:val="20"/>
          <w:vertAlign w:val="baseline"/>
        </w:rPr>
        <w:t>ze</w:t>
      </w:r>
      <w:r>
        <w:rPr>
          <w:color w:val="231F20"/>
          <w:sz w:val="20"/>
          <w:vertAlign w:val="baseline"/>
        </w:rPr>
        <w:t> </w:t>
      </w:r>
      <w:r>
        <w:rPr>
          <w:color w:val="231F20"/>
          <w:spacing w:val="-8"/>
          <w:sz w:val="20"/>
          <w:vertAlign w:val="baseline"/>
        </w:rPr>
        <w:t>względów </w:t>
      </w:r>
      <w:r>
        <w:rPr>
          <w:color w:val="231F20"/>
          <w:sz w:val="20"/>
          <w:vertAlign w:val="baseline"/>
        </w:rPr>
        <w:t>funkcjonalnych (patrz Rysunki 8 i 10).</w:t>
      </w:r>
    </w:p>
    <w:p>
      <w:pPr>
        <w:pStyle w:val="ListParagraph"/>
        <w:numPr>
          <w:ilvl w:val="0"/>
          <w:numId w:val="11"/>
        </w:numPr>
        <w:tabs>
          <w:tab w:pos="480" w:val="left" w:leader="none"/>
          <w:tab w:pos="482" w:val="left" w:leader="none"/>
        </w:tabs>
        <w:spacing w:line="249" w:lineRule="auto" w:before="174" w:after="0"/>
        <w:ind w:left="482" w:right="706" w:hanging="341"/>
        <w:jc w:val="both"/>
        <w:rPr>
          <w:sz w:val="20"/>
        </w:rPr>
      </w:pPr>
      <w:r>
        <w:rPr>
          <w:color w:val="231F20"/>
          <w:w w:val="90"/>
          <w:sz w:val="20"/>
        </w:rPr>
        <w:t>Jeżeli część powierzchni ruchu, większa niż 30 cm</w:t>
      </w:r>
      <w:r>
        <w:rPr>
          <w:color w:val="231F20"/>
          <w:w w:val="90"/>
          <w:sz w:val="20"/>
          <w:vertAlign w:val="superscript"/>
        </w:rPr>
        <w:t>2</w:t>
      </w:r>
      <w:r>
        <w:rPr>
          <w:color w:val="231F20"/>
          <w:w w:val="90"/>
          <w:sz w:val="20"/>
          <w:vertAlign w:val="baseline"/>
        </w:rPr>
        <w:t>, powinna pozostać niezajęta ze względu na istniejący </w:t>
      </w:r>
      <w:r>
        <w:rPr>
          <w:color w:val="231F20"/>
          <w:spacing w:val="-2"/>
          <w:w w:val="90"/>
          <w:sz w:val="20"/>
          <w:vertAlign w:val="baseline"/>
        </w:rPr>
        <w:t>przewód lub konieczność umożliwienia dojścia i obsługi urządzeń technicznych znajdujących się pod podłogą </w:t>
      </w:r>
      <w:r>
        <w:rPr>
          <w:color w:val="231F20"/>
          <w:spacing w:val="-6"/>
          <w:sz w:val="20"/>
          <w:vertAlign w:val="baseline"/>
        </w:rPr>
        <w:t>podniesioną,</w:t>
      </w:r>
      <w:r>
        <w:rPr>
          <w:color w:val="231F20"/>
          <w:spacing w:val="-7"/>
          <w:sz w:val="20"/>
          <w:vertAlign w:val="baseline"/>
        </w:rPr>
        <w:t> </w:t>
      </w:r>
      <w:r>
        <w:rPr>
          <w:color w:val="231F20"/>
          <w:spacing w:val="-6"/>
          <w:sz w:val="20"/>
          <w:vertAlign w:val="baseline"/>
        </w:rPr>
        <w:t>to</w:t>
      </w:r>
      <w:r>
        <w:rPr>
          <w:color w:val="231F20"/>
          <w:spacing w:val="-7"/>
          <w:sz w:val="20"/>
          <w:vertAlign w:val="baseline"/>
        </w:rPr>
        <w:t> </w:t>
      </w:r>
      <w:r>
        <w:rPr>
          <w:color w:val="231F20"/>
          <w:spacing w:val="-6"/>
          <w:sz w:val="20"/>
          <w:vertAlign w:val="baseline"/>
        </w:rPr>
        <w:t>powierzchnia</w:t>
      </w:r>
      <w:r>
        <w:rPr>
          <w:color w:val="231F20"/>
          <w:spacing w:val="-7"/>
          <w:sz w:val="20"/>
          <w:vertAlign w:val="baseline"/>
        </w:rPr>
        <w:t> </w:t>
      </w:r>
      <w:r>
        <w:rPr>
          <w:color w:val="231F20"/>
          <w:spacing w:val="-6"/>
          <w:sz w:val="20"/>
          <w:vertAlign w:val="baseline"/>
        </w:rPr>
        <w:t>kondygnacji,</w:t>
      </w:r>
      <w:r>
        <w:rPr>
          <w:color w:val="231F20"/>
          <w:spacing w:val="-7"/>
          <w:sz w:val="20"/>
          <w:vertAlign w:val="baseline"/>
        </w:rPr>
        <w:t> </w:t>
      </w:r>
      <w:r>
        <w:rPr>
          <w:color w:val="231F20"/>
          <w:spacing w:val="-6"/>
          <w:sz w:val="20"/>
          <w:vertAlign w:val="baseline"/>
        </w:rPr>
        <w:t>którą</w:t>
      </w:r>
      <w:r>
        <w:rPr>
          <w:color w:val="231F20"/>
          <w:spacing w:val="-7"/>
          <w:sz w:val="20"/>
          <w:vertAlign w:val="baseline"/>
        </w:rPr>
        <w:t> </w:t>
      </w:r>
      <w:r>
        <w:rPr>
          <w:color w:val="231F20"/>
          <w:spacing w:val="-6"/>
          <w:sz w:val="20"/>
          <w:vertAlign w:val="baseline"/>
        </w:rPr>
        <w:t>należy</w:t>
      </w:r>
      <w:r>
        <w:rPr>
          <w:color w:val="231F20"/>
          <w:spacing w:val="-7"/>
          <w:sz w:val="20"/>
          <w:vertAlign w:val="baseline"/>
        </w:rPr>
        <w:t> </w:t>
      </w:r>
      <w:r>
        <w:rPr>
          <w:color w:val="231F20"/>
          <w:spacing w:val="-6"/>
          <w:sz w:val="20"/>
          <w:vertAlign w:val="baseline"/>
        </w:rPr>
        <w:t>wykorzystać</w:t>
      </w:r>
      <w:r>
        <w:rPr>
          <w:color w:val="231F20"/>
          <w:spacing w:val="-7"/>
          <w:sz w:val="20"/>
          <w:vertAlign w:val="baseline"/>
        </w:rPr>
        <w:t> </w:t>
      </w:r>
      <w:r>
        <w:rPr>
          <w:color w:val="231F20"/>
          <w:spacing w:val="-6"/>
          <w:sz w:val="20"/>
          <w:vertAlign w:val="baseline"/>
        </w:rPr>
        <w:t>aby</w:t>
      </w:r>
      <w:r>
        <w:rPr>
          <w:color w:val="231F20"/>
          <w:spacing w:val="-7"/>
          <w:sz w:val="20"/>
          <w:vertAlign w:val="baseline"/>
        </w:rPr>
        <w:t> </w:t>
      </w:r>
      <w:r>
        <w:rPr>
          <w:color w:val="231F20"/>
          <w:spacing w:val="-6"/>
          <w:sz w:val="20"/>
          <w:vertAlign w:val="baseline"/>
        </w:rPr>
        <w:t>ominąć</w:t>
      </w:r>
      <w:r>
        <w:rPr>
          <w:color w:val="231F20"/>
          <w:spacing w:val="-7"/>
          <w:sz w:val="20"/>
          <w:vertAlign w:val="baseline"/>
        </w:rPr>
        <w:t> </w:t>
      </w:r>
      <w:r>
        <w:rPr>
          <w:color w:val="231F20"/>
          <w:spacing w:val="-6"/>
          <w:sz w:val="20"/>
          <w:vertAlign w:val="baseline"/>
        </w:rPr>
        <w:t>przewód</w:t>
      </w:r>
      <w:r>
        <w:rPr>
          <w:color w:val="231F20"/>
          <w:spacing w:val="-7"/>
          <w:sz w:val="20"/>
          <w:vertAlign w:val="baseline"/>
        </w:rPr>
        <w:t> </w:t>
      </w:r>
      <w:r>
        <w:rPr>
          <w:color w:val="231F20"/>
          <w:spacing w:val="-6"/>
          <w:sz w:val="20"/>
          <w:vertAlign w:val="baseline"/>
        </w:rPr>
        <w:t>lub</w:t>
      </w:r>
      <w:r>
        <w:rPr>
          <w:color w:val="231F20"/>
          <w:spacing w:val="-7"/>
          <w:sz w:val="20"/>
          <w:vertAlign w:val="baseline"/>
        </w:rPr>
        <w:t> </w:t>
      </w:r>
      <w:r>
        <w:rPr>
          <w:color w:val="231F20"/>
          <w:spacing w:val="-6"/>
          <w:sz w:val="20"/>
          <w:vertAlign w:val="baseline"/>
        </w:rPr>
        <w:t>inne</w:t>
      </w:r>
      <w:r>
        <w:rPr>
          <w:color w:val="231F20"/>
          <w:spacing w:val="-7"/>
          <w:sz w:val="20"/>
          <w:vertAlign w:val="baseline"/>
        </w:rPr>
        <w:t> </w:t>
      </w:r>
      <w:r>
        <w:rPr>
          <w:color w:val="231F20"/>
          <w:spacing w:val="-6"/>
          <w:sz w:val="20"/>
          <w:vertAlign w:val="baseline"/>
        </w:rPr>
        <w:t>otwory (na przykład mająca na celu modyfikację przebiegu drogi komunikacyjnej), jest powierzchnią nieużyteczną </w:t>
      </w:r>
      <w:r>
        <w:rPr>
          <w:color w:val="231F20"/>
          <w:sz w:val="20"/>
          <w:vertAlign w:val="baseline"/>
        </w:rPr>
        <w:t>budynku ze względów funkcjonalnych (patrz Rysunek 8).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BodyText"/>
        <w:spacing w:before="108"/>
      </w:pPr>
    </w:p>
    <w:p>
      <w:pPr>
        <w:pStyle w:val="BodyText"/>
        <w:ind w:left="3239"/>
      </w:pPr>
      <w:r>
        <w:rPr/>
        <w:drawing>
          <wp:inline distT="0" distB="0" distL="0" distR="0">
            <wp:extent cx="2871212" cy="1720596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12" cy="172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9"/>
        <w:rPr>
          <w:sz w:val="18"/>
        </w:rPr>
      </w:pPr>
    </w:p>
    <w:p>
      <w:pPr>
        <w:spacing w:before="0"/>
        <w:ind w:left="70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15"/>
        </w:numPr>
        <w:tabs>
          <w:tab w:pos="1049" w:val="left" w:leader="none"/>
        </w:tabs>
        <w:spacing w:line="240" w:lineRule="auto" w:before="69" w:after="0"/>
        <w:ind w:left="1049" w:right="0" w:hanging="340"/>
        <w:jc w:val="left"/>
        <w:rPr>
          <w:sz w:val="18"/>
        </w:rPr>
      </w:pPr>
      <w:r>
        <w:rPr>
          <w:color w:val="231F20"/>
          <w:spacing w:val="-4"/>
          <w:sz w:val="18"/>
        </w:rPr>
        <w:t>obszar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ingerencji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(np.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grzejnik)/powierzchnia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nieużyteczna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ze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względów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konstrukcyjnych</w:t>
      </w:r>
    </w:p>
    <w:p>
      <w:pPr>
        <w:pStyle w:val="ListParagraph"/>
        <w:numPr>
          <w:ilvl w:val="0"/>
          <w:numId w:val="15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pacing w:val="-4"/>
          <w:sz w:val="18"/>
        </w:rPr>
        <w:t>powierzchnia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nieużyteczna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ze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względów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funkcjonalnych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dla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obsługi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obszaru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ingerencji</w:t>
      </w:r>
    </w:p>
    <w:p>
      <w:pPr>
        <w:pStyle w:val="ListParagraph"/>
        <w:numPr>
          <w:ilvl w:val="0"/>
          <w:numId w:val="15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pacing w:val="-2"/>
          <w:w w:val="80"/>
          <w:sz w:val="18"/>
        </w:rPr>
        <w:t>ingerująca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w w:val="80"/>
          <w:sz w:val="18"/>
        </w:rPr>
        <w:t>część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w w:val="80"/>
          <w:sz w:val="18"/>
        </w:rPr>
        <w:t>elementu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spacing w:line="249" w:lineRule="auto"/>
        <w:ind w:left="1410" w:right="841"/>
        <w:jc w:val="center"/>
      </w:pPr>
      <w:r>
        <w:rPr>
          <w:color w:val="231F20"/>
        </w:rPr>
        <w:t>Rysunek</w:t>
      </w:r>
      <w:r>
        <w:rPr>
          <w:color w:val="231F20"/>
          <w:spacing w:val="-4"/>
        </w:rPr>
        <w:t> </w:t>
      </w:r>
      <w:r>
        <w:rPr>
          <w:color w:val="231F20"/>
        </w:rPr>
        <w:t>7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Ingerencja</w:t>
      </w:r>
      <w:r>
        <w:rPr>
          <w:color w:val="231F20"/>
          <w:spacing w:val="-4"/>
        </w:rPr>
        <w:t> </w:t>
      </w:r>
      <w:r>
        <w:rPr>
          <w:color w:val="231F20"/>
        </w:rPr>
        <w:t>wynikająca</w:t>
      </w:r>
      <w:r>
        <w:rPr>
          <w:color w:val="231F20"/>
          <w:spacing w:val="-4"/>
        </w:rPr>
        <w:t> </w:t>
      </w:r>
      <w:r>
        <w:rPr>
          <w:color w:val="231F20"/>
        </w:rPr>
        <w:t>z</w:t>
      </w:r>
      <w:r>
        <w:rPr>
          <w:color w:val="231F20"/>
          <w:spacing w:val="-4"/>
        </w:rPr>
        <w:t> </w:t>
      </w:r>
      <w:r>
        <w:rPr>
          <w:color w:val="231F20"/>
        </w:rPr>
        <w:t>potrzeby</w:t>
      </w:r>
      <w:r>
        <w:rPr>
          <w:color w:val="231F20"/>
          <w:spacing w:val="-4"/>
        </w:rPr>
        <w:t> </w:t>
      </w:r>
      <w:r>
        <w:rPr>
          <w:color w:val="231F20"/>
        </w:rPr>
        <w:t>utrzymania</w:t>
      </w:r>
      <w:r>
        <w:rPr>
          <w:color w:val="231F20"/>
          <w:spacing w:val="-4"/>
        </w:rPr>
        <w:t> </w:t>
      </w:r>
      <w:r>
        <w:rPr>
          <w:color w:val="231F20"/>
        </w:rPr>
        <w:t>niezagospodarowanej</w:t>
      </w:r>
      <w:r>
        <w:rPr>
          <w:color w:val="231F20"/>
          <w:spacing w:val="-4"/>
        </w:rPr>
        <w:t> </w:t>
      </w:r>
      <w:r>
        <w:rPr>
          <w:color w:val="231F20"/>
        </w:rPr>
        <w:t>strefy umożliwiającej obsługę okna</w:t>
      </w:r>
    </w:p>
    <w:p>
      <w:pPr>
        <w:pStyle w:val="BodyText"/>
        <w:spacing w:before="53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2763657</wp:posOffset>
            </wp:positionH>
            <wp:positionV relativeFrom="paragraph">
              <wp:posOffset>195164</wp:posOffset>
            </wp:positionV>
            <wp:extent cx="2395728" cy="2080260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2"/>
        <w:rPr>
          <w:rFonts w:ascii="Arial"/>
          <w:b/>
        </w:rPr>
      </w:pPr>
    </w:p>
    <w:p>
      <w:pPr>
        <w:spacing w:before="0"/>
        <w:ind w:left="70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16"/>
        </w:numPr>
        <w:tabs>
          <w:tab w:pos="1049" w:val="left" w:leader="none"/>
        </w:tabs>
        <w:spacing w:line="240" w:lineRule="auto" w:before="69" w:after="0"/>
        <w:ind w:left="1049" w:right="0" w:hanging="340"/>
        <w:jc w:val="left"/>
        <w:rPr>
          <w:sz w:val="18"/>
        </w:rPr>
      </w:pPr>
      <w:r>
        <w:rPr>
          <w:color w:val="231F20"/>
          <w:sz w:val="18"/>
        </w:rPr>
        <w:t>przewód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lub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otwór</w:t>
      </w:r>
    </w:p>
    <w:p>
      <w:pPr>
        <w:pStyle w:val="ListParagraph"/>
        <w:numPr>
          <w:ilvl w:val="0"/>
          <w:numId w:val="16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konstrukcyjnych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spacing w:line="249" w:lineRule="auto" w:before="1"/>
        <w:ind w:left="1071" w:right="502"/>
        <w:jc w:val="center"/>
      </w:pPr>
      <w:r>
        <w:rPr>
          <w:color w:val="231F20"/>
        </w:rPr>
        <w:t>Rysunek</w:t>
      </w:r>
      <w:r>
        <w:rPr>
          <w:color w:val="231F20"/>
          <w:spacing w:val="-3"/>
        </w:rPr>
        <w:t> </w:t>
      </w:r>
      <w:r>
        <w:rPr>
          <w:color w:val="231F20"/>
        </w:rPr>
        <w:t>8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Ingerencja</w:t>
      </w:r>
      <w:r>
        <w:rPr>
          <w:color w:val="231F20"/>
          <w:spacing w:val="-3"/>
        </w:rPr>
        <w:t> </w:t>
      </w:r>
      <w:r>
        <w:rPr>
          <w:color w:val="231F20"/>
        </w:rPr>
        <w:t>wynikająca</w:t>
      </w:r>
      <w:r>
        <w:rPr>
          <w:color w:val="231F20"/>
          <w:spacing w:val="-3"/>
        </w:rPr>
        <w:t> </w:t>
      </w:r>
      <w:r>
        <w:rPr>
          <w:color w:val="231F20"/>
        </w:rPr>
        <w:t>z</w:t>
      </w:r>
      <w:r>
        <w:rPr>
          <w:color w:val="231F20"/>
          <w:spacing w:val="-3"/>
        </w:rPr>
        <w:t> </w:t>
      </w:r>
      <w:r>
        <w:rPr>
          <w:color w:val="231F20"/>
        </w:rPr>
        <w:t>potrzeby</w:t>
      </w:r>
      <w:r>
        <w:rPr>
          <w:color w:val="231F20"/>
          <w:spacing w:val="-3"/>
        </w:rPr>
        <w:t> </w:t>
      </w:r>
      <w:r>
        <w:rPr>
          <w:color w:val="231F20"/>
        </w:rPr>
        <w:t>zapewnienia</w:t>
      </w:r>
      <w:r>
        <w:rPr>
          <w:color w:val="231F20"/>
          <w:spacing w:val="-3"/>
        </w:rPr>
        <w:t> </w:t>
      </w:r>
      <w:r>
        <w:rPr>
          <w:color w:val="231F20"/>
        </w:rPr>
        <w:t>dostępności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kanału</w:t>
      </w:r>
      <w:r>
        <w:rPr>
          <w:color w:val="231F20"/>
          <w:spacing w:val="-3"/>
        </w:rPr>
        <w:t> </w:t>
      </w:r>
      <w:r>
        <w:rPr>
          <w:color w:val="231F20"/>
        </w:rPr>
        <w:t>lub</w:t>
      </w:r>
      <w:r>
        <w:rPr>
          <w:color w:val="231F20"/>
          <w:spacing w:val="-3"/>
        </w:rPr>
        <w:t> </w:t>
      </w:r>
      <w:r>
        <w:rPr>
          <w:color w:val="231F20"/>
        </w:rPr>
        <w:t>otworu umieszczonego w podłodze, jak w 5.1.11 b), c) i d)</w:t>
      </w:r>
    </w:p>
    <w:p>
      <w:pPr>
        <w:pStyle w:val="Heading4"/>
        <w:spacing w:after="0" w:line="249" w:lineRule="auto"/>
        <w:jc w:val="center"/>
        <w:sectPr>
          <w:pgSz w:w="11910" w:h="16840"/>
          <w:pgMar w:header="0" w:footer="512" w:top="1240" w:bottom="700" w:left="708" w:right="708"/>
        </w:sectPr>
      </w:pPr>
    </w:p>
    <w:p>
      <w:pPr>
        <w:pStyle w:val="BodyText"/>
        <w:spacing w:before="88" w:after="1"/>
        <w:rPr>
          <w:rFonts w:ascii="Arial"/>
          <w:b/>
        </w:rPr>
      </w:pPr>
    </w:p>
    <w:p>
      <w:pPr>
        <w:pStyle w:val="BodyText"/>
        <w:ind w:left="3295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1999488" cy="2127504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spacing w:before="56"/>
        <w:rPr>
          <w:rFonts w:ascii="Arial"/>
          <w:b/>
          <w:sz w:val="18"/>
        </w:rPr>
      </w:pPr>
    </w:p>
    <w:p>
      <w:pPr>
        <w:spacing w:before="1"/>
        <w:ind w:left="14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17"/>
        </w:numPr>
        <w:tabs>
          <w:tab w:pos="482" w:val="left" w:leader="none"/>
        </w:tabs>
        <w:spacing w:line="240" w:lineRule="auto" w:before="69" w:after="0"/>
        <w:ind w:left="482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funkcjonalnych</w:t>
      </w:r>
    </w:p>
    <w:p>
      <w:pPr>
        <w:pStyle w:val="ListParagraph"/>
        <w:numPr>
          <w:ilvl w:val="0"/>
          <w:numId w:val="17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konstrukcyjnych</w:t>
      </w:r>
    </w:p>
    <w:p>
      <w:pPr>
        <w:pStyle w:val="ListParagraph"/>
        <w:numPr>
          <w:ilvl w:val="0"/>
          <w:numId w:val="17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6"/>
          <w:sz w:val="18"/>
        </w:rPr>
        <w:t>konstrukcyjnych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6"/>
          <w:sz w:val="18"/>
        </w:rPr>
        <w:t>łącznie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6"/>
          <w:sz w:val="18"/>
        </w:rPr>
        <w:t>z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6"/>
          <w:sz w:val="18"/>
        </w:rPr>
        <w:t>wykończeniem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ind w:left="0" w:right="564"/>
        <w:jc w:val="center"/>
      </w:pPr>
      <w:r>
        <w:rPr>
          <w:color w:val="231F20"/>
        </w:rPr>
        <w:t>Rysunek</w:t>
      </w:r>
      <w:r>
        <w:rPr>
          <w:color w:val="231F20"/>
          <w:spacing w:val="-2"/>
        </w:rPr>
        <w:t> </w:t>
      </w:r>
      <w:r>
        <w:rPr>
          <w:color w:val="231F20"/>
        </w:rPr>
        <w:t>9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Ingerencje</w:t>
      </w:r>
      <w:r>
        <w:rPr>
          <w:color w:val="231F20"/>
          <w:spacing w:val="-2"/>
        </w:rPr>
        <w:t> </w:t>
      </w:r>
      <w:r>
        <w:rPr>
          <w:color w:val="231F20"/>
        </w:rPr>
        <w:t>słupów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różnych</w:t>
      </w:r>
      <w:r>
        <w:rPr>
          <w:color w:val="231F20"/>
          <w:spacing w:val="-2"/>
        </w:rPr>
        <w:t> </w:t>
      </w:r>
      <w:r>
        <w:rPr>
          <w:color w:val="231F20"/>
        </w:rPr>
        <w:t>kształtach</w:t>
      </w:r>
      <w:r>
        <w:rPr>
          <w:color w:val="231F20"/>
          <w:spacing w:val="-2"/>
        </w:rPr>
        <w:t> </w:t>
      </w:r>
      <w:r>
        <w:rPr>
          <w:color w:val="231F20"/>
        </w:rPr>
        <w:t>i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obudowach</w:t>
      </w:r>
    </w:p>
    <w:p>
      <w:pPr>
        <w:pStyle w:val="BodyText"/>
        <w:spacing w:before="83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2461569</wp:posOffset>
            </wp:positionH>
            <wp:positionV relativeFrom="paragraph">
              <wp:posOffset>214074</wp:posOffset>
            </wp:positionV>
            <wp:extent cx="2310383" cy="2065019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383" cy="206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6"/>
        <w:rPr>
          <w:rFonts w:ascii="Arial"/>
          <w:b/>
        </w:rPr>
      </w:pPr>
    </w:p>
    <w:p>
      <w:pPr>
        <w:spacing w:before="1"/>
        <w:ind w:left="14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18"/>
        </w:numPr>
        <w:tabs>
          <w:tab w:pos="482" w:val="left" w:leader="none"/>
        </w:tabs>
        <w:spacing w:line="240" w:lineRule="auto" w:before="69" w:after="0"/>
        <w:ind w:left="482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konstrukcyjnych</w:t>
      </w:r>
    </w:p>
    <w:p>
      <w:pPr>
        <w:pStyle w:val="ListParagraph"/>
        <w:numPr>
          <w:ilvl w:val="0"/>
          <w:numId w:val="18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funkcjonalnych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spacing w:line="249" w:lineRule="auto"/>
        <w:ind w:left="612" w:right="1178"/>
        <w:jc w:val="center"/>
      </w:pPr>
      <w:r>
        <w:rPr>
          <w:color w:val="231F20"/>
        </w:rPr>
        <w:t>Rysunek</w:t>
      </w:r>
      <w:r>
        <w:rPr>
          <w:color w:val="231F20"/>
          <w:spacing w:val="-4"/>
        </w:rPr>
        <w:t> </w:t>
      </w:r>
      <w:r>
        <w:rPr>
          <w:color w:val="231F20"/>
        </w:rPr>
        <w:t>10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Powierzchnia</w:t>
      </w:r>
      <w:r>
        <w:rPr>
          <w:color w:val="231F20"/>
          <w:spacing w:val="-4"/>
        </w:rPr>
        <w:t> </w:t>
      </w:r>
      <w:r>
        <w:rPr>
          <w:color w:val="231F20"/>
        </w:rPr>
        <w:t>nieużyteczna</w:t>
      </w:r>
      <w:r>
        <w:rPr>
          <w:color w:val="231F20"/>
          <w:spacing w:val="-4"/>
        </w:rPr>
        <w:t> </w:t>
      </w:r>
      <w:r>
        <w:rPr>
          <w:color w:val="231F20"/>
        </w:rPr>
        <w:t>ze</w:t>
      </w:r>
      <w:r>
        <w:rPr>
          <w:color w:val="231F20"/>
          <w:spacing w:val="-4"/>
        </w:rPr>
        <w:t> </w:t>
      </w:r>
      <w:r>
        <w:rPr>
          <w:color w:val="231F20"/>
        </w:rPr>
        <w:t>względu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konieczność</w:t>
      </w:r>
      <w:r>
        <w:rPr>
          <w:color w:val="231F20"/>
          <w:spacing w:val="-4"/>
        </w:rPr>
        <w:t> </w:t>
      </w:r>
      <w:r>
        <w:rPr>
          <w:color w:val="231F20"/>
        </w:rPr>
        <w:t>zapewnienia</w:t>
      </w:r>
      <w:r>
        <w:rPr>
          <w:color w:val="231F20"/>
          <w:spacing w:val="-4"/>
        </w:rPr>
        <w:t> </w:t>
      </w:r>
      <w:r>
        <w:rPr>
          <w:color w:val="231F20"/>
        </w:rPr>
        <w:t>dostępu do otworu w podłodze</w:t>
      </w:r>
    </w:p>
    <w:p>
      <w:pPr>
        <w:pStyle w:val="ListParagraph"/>
        <w:numPr>
          <w:ilvl w:val="0"/>
          <w:numId w:val="11"/>
        </w:numPr>
        <w:tabs>
          <w:tab w:pos="480" w:val="left" w:leader="none"/>
          <w:tab w:pos="482" w:val="left" w:leader="none"/>
        </w:tabs>
        <w:spacing w:line="249" w:lineRule="auto" w:before="172" w:after="0"/>
        <w:ind w:left="482" w:right="706" w:hanging="341"/>
        <w:jc w:val="both"/>
        <w:rPr>
          <w:sz w:val="20"/>
        </w:rPr>
      </w:pPr>
      <w:r>
        <w:rPr>
          <w:color w:val="231F20"/>
          <w:spacing w:val="-6"/>
          <w:sz w:val="20"/>
        </w:rPr>
        <w:t>Jeżeli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część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powierzchni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kondygnacji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powinna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pozostać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niezajęta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ze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względu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na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umożliwienie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dojścia </w:t>
      </w:r>
      <w:r>
        <w:rPr>
          <w:color w:val="231F20"/>
          <w:sz w:val="20"/>
        </w:rPr>
        <w:t>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pomieszczeń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technicznych,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instalacji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zbiorczych,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pomieszczenia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urządzeń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mechanicznych,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elek- trycznych,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telekomunikacyjnych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lub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wyposażenia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elektronicznego,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lub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wejścia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dach,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dojścia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pod- </w:t>
      </w:r>
      <w:r>
        <w:rPr>
          <w:color w:val="231F20"/>
          <w:spacing w:val="-4"/>
          <w:sz w:val="20"/>
        </w:rPr>
        <w:t>dasza użytkowego bądź nieużytkowego, nadbudówek na dachu, przestrzeni nad sufitem podwieszanym, </w:t>
      </w:r>
      <w:r>
        <w:rPr>
          <w:color w:val="231F20"/>
          <w:w w:val="90"/>
          <w:sz w:val="20"/>
        </w:rPr>
        <w:t>i ta część powierzchni kondygnacji nie jest powierzchnią ruchu, to taka część powierzchni kondygnacji jest </w:t>
      </w:r>
      <w:r>
        <w:rPr>
          <w:color w:val="231F20"/>
          <w:spacing w:val="-2"/>
          <w:sz w:val="20"/>
        </w:rPr>
        <w:t>powierzchnią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nieużyteczną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budynku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ze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względów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funkcjonalnych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(patrz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Rysunki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11,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12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13).</w:t>
      </w:r>
    </w:p>
    <w:p>
      <w:pPr>
        <w:pStyle w:val="ListParagraph"/>
        <w:numPr>
          <w:ilvl w:val="0"/>
          <w:numId w:val="11"/>
        </w:numPr>
        <w:tabs>
          <w:tab w:pos="480" w:val="left" w:leader="none"/>
          <w:tab w:pos="482" w:val="left" w:leader="none"/>
        </w:tabs>
        <w:spacing w:line="249" w:lineRule="auto" w:before="175" w:after="0"/>
        <w:ind w:left="482" w:right="707" w:hanging="341"/>
        <w:jc w:val="both"/>
        <w:rPr>
          <w:sz w:val="20"/>
        </w:rPr>
      </w:pPr>
      <w:r>
        <w:rPr>
          <w:color w:val="231F20"/>
          <w:w w:val="90"/>
          <w:sz w:val="20"/>
        </w:rPr>
        <w:t>Jeżeli występują ograniczenia w użytkowaniu części powierzchni użytkowej lub powierzchni ruchu, lub gdy </w:t>
      </w:r>
      <w:r>
        <w:rPr>
          <w:color w:val="231F20"/>
          <w:spacing w:val="-4"/>
          <w:sz w:val="20"/>
        </w:rPr>
        <w:t>część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takiej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powierzchni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kondygnacji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nie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jest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dostępna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ze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względu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na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wymagania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przepisów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techniczno-</w:t>
      </w:r>
    </w:p>
    <w:p>
      <w:pPr>
        <w:pStyle w:val="BodyText"/>
        <w:spacing w:line="249" w:lineRule="auto" w:before="2"/>
        <w:ind w:left="482"/>
      </w:pPr>
      <w:r>
        <w:rPr>
          <w:color w:val="231F20"/>
          <w:spacing w:val="-6"/>
        </w:rPr>
        <w:t>-budowlanych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lub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warunki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umów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cywilnoprawnych,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taka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część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powierzchni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kondygnacji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jest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powierzchnią </w:t>
      </w:r>
      <w:r>
        <w:rPr>
          <w:color w:val="231F20"/>
          <w:spacing w:val="-2"/>
        </w:rPr>
        <w:t>nieużyteczną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budynku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ze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względów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funkcjonalnych</w:t>
      </w:r>
      <w:r>
        <w:rPr>
          <w:color w:val="231F20"/>
          <w:spacing w:val="-2"/>
          <w:vertAlign w:val="superscript"/>
        </w:rPr>
        <w:t>N3)</w:t>
      </w:r>
      <w:r>
        <w:rPr>
          <w:color w:val="231F20"/>
          <w:spacing w:val="-2"/>
          <w:vertAlign w:val="baseline"/>
        </w:rPr>
        <w:t>.</w:t>
      </w:r>
    </w:p>
    <w:p>
      <w:pPr>
        <w:pStyle w:val="BodyText"/>
        <w:spacing w:before="2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539771</wp:posOffset>
                </wp:positionH>
                <wp:positionV relativeFrom="paragraph">
                  <wp:posOffset>301867</wp:posOffset>
                </wp:positionV>
                <wp:extent cx="1080770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080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770" h="0">
                              <a:moveTo>
                                <a:pt x="0" y="0"/>
                              </a:moveTo>
                              <a:lnTo>
                                <a:pt x="108045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01701pt;margin-top:23.769104pt;width:85.1pt;height:.1pt;mso-position-horizontal-relative:page;mso-position-vertical-relative:paragraph;z-index:-15720960;mso-wrap-distance-left:0;mso-wrap-distance-right:0" id="docshape19" coordorigin="850,475" coordsize="1702,0" path="m850,475l2552,475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67"/>
        <w:ind w:left="142" w:right="702" w:firstLine="0"/>
        <w:jc w:val="left"/>
        <w:rPr>
          <w:sz w:val="17"/>
        </w:rPr>
      </w:pPr>
      <w:r>
        <w:rPr>
          <w:color w:val="231F20"/>
          <w:spacing w:val="-2"/>
          <w:sz w:val="17"/>
          <w:vertAlign w:val="superscript"/>
        </w:rPr>
        <w:t>N3)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Odsyłacz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krajowy: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Błąd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w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oryginale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ISO,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zamiast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„ze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względów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funkcjonalnych”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powinno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być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„ze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względów</w:t>
      </w:r>
      <w:r>
        <w:rPr>
          <w:color w:val="231F20"/>
          <w:spacing w:val="-6"/>
          <w:sz w:val="17"/>
          <w:vertAlign w:val="baseline"/>
        </w:rPr>
        <w:t> </w:t>
      </w:r>
      <w:r>
        <w:rPr>
          <w:color w:val="231F20"/>
          <w:spacing w:val="-2"/>
          <w:sz w:val="17"/>
          <w:vertAlign w:val="baseline"/>
        </w:rPr>
        <w:t>konstrukcyjnych” </w:t>
      </w:r>
      <w:r>
        <w:rPr>
          <w:color w:val="231F20"/>
          <w:sz w:val="17"/>
          <w:vertAlign w:val="baseline"/>
        </w:rPr>
        <w:t>– porównaj 3.6.</w:t>
      </w:r>
    </w:p>
    <w:p>
      <w:pPr>
        <w:spacing w:after="0" w:line="256" w:lineRule="auto"/>
        <w:jc w:val="left"/>
        <w:rPr>
          <w:sz w:val="17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ListParagraph"/>
        <w:numPr>
          <w:ilvl w:val="0"/>
          <w:numId w:val="11"/>
        </w:numPr>
        <w:tabs>
          <w:tab w:pos="1047" w:val="left" w:leader="none"/>
          <w:tab w:pos="1049" w:val="left" w:leader="none"/>
        </w:tabs>
        <w:spacing w:line="249" w:lineRule="auto" w:before="229" w:after="0"/>
        <w:ind w:left="1049" w:right="140" w:hanging="341"/>
        <w:jc w:val="both"/>
        <w:rPr>
          <w:sz w:val="20"/>
        </w:rPr>
      </w:pPr>
      <w:r>
        <w:rPr>
          <w:color w:val="231F20"/>
          <w:w w:val="90"/>
          <w:sz w:val="20"/>
        </w:rPr>
        <w:t>Jeżeli występują ograniczenia w użytkowaniu części powierzchni użytkowej lub powierzchni ruchu, lub gdy część takiej powierzchni kondygnacji jest niedostępna do wysokości 2,4 m ze względu na kolizję z wyekspo- </w:t>
      </w:r>
      <w:r>
        <w:rPr>
          <w:color w:val="231F20"/>
          <w:spacing w:val="-6"/>
          <w:sz w:val="20"/>
        </w:rPr>
        <w:t>nowanymi elementami budynku, takimi jak wzmocnienia antysejsmiczne, stężenia, pochyłe fragmenty ścian, skosy połaci dachowych w obrębie poddaszy itp., to taka część powierzchni kondygnacji jest powierzchnią </w:t>
      </w:r>
      <w:r>
        <w:rPr>
          <w:color w:val="231F20"/>
          <w:spacing w:val="-2"/>
          <w:sz w:val="20"/>
        </w:rPr>
        <w:t>nieużyteczną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budynku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ze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względów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funkcjonalnych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(patrz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Rysunek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14).</w:t>
      </w:r>
    </w:p>
    <w:p>
      <w:pPr>
        <w:pStyle w:val="BodyText"/>
        <w:spacing w:before="107"/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2543439</wp:posOffset>
            </wp:positionH>
            <wp:positionV relativeFrom="paragraph">
              <wp:posOffset>229765</wp:posOffset>
            </wp:positionV>
            <wp:extent cx="2860547" cy="2185416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5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8"/>
      </w:pPr>
    </w:p>
    <w:p>
      <w:pPr>
        <w:spacing w:before="1"/>
        <w:ind w:left="70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19"/>
        </w:numPr>
        <w:tabs>
          <w:tab w:pos="1049" w:val="left" w:leader="none"/>
        </w:tabs>
        <w:spacing w:line="240" w:lineRule="auto" w:before="69" w:after="0"/>
        <w:ind w:left="1049" w:right="0" w:hanging="340"/>
        <w:jc w:val="left"/>
        <w:rPr>
          <w:sz w:val="18"/>
        </w:rPr>
      </w:pPr>
      <w:r>
        <w:rPr>
          <w:color w:val="231F20"/>
          <w:spacing w:val="-4"/>
          <w:sz w:val="18"/>
        </w:rPr>
        <w:t>pomieszczenie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na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urządzenia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telekomunikacyjne</w:t>
      </w:r>
    </w:p>
    <w:p>
      <w:pPr>
        <w:pStyle w:val="ListParagraph"/>
        <w:numPr>
          <w:ilvl w:val="0"/>
          <w:numId w:val="19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funkcjonalnych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spacing w:line="249" w:lineRule="auto"/>
        <w:ind w:left="1248" w:right="680"/>
        <w:jc w:val="center"/>
      </w:pPr>
      <w:r>
        <w:rPr>
          <w:color w:val="231F20"/>
        </w:rPr>
        <w:t>Rysunek</w:t>
      </w:r>
      <w:r>
        <w:rPr>
          <w:color w:val="231F20"/>
          <w:spacing w:val="-5"/>
        </w:rPr>
        <w:t> </w:t>
      </w:r>
      <w:r>
        <w:rPr>
          <w:color w:val="231F20"/>
        </w:rPr>
        <w:t>11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Powierzchnia</w:t>
      </w:r>
      <w:r>
        <w:rPr>
          <w:color w:val="231F20"/>
          <w:spacing w:val="-5"/>
        </w:rPr>
        <w:t> </w:t>
      </w:r>
      <w:r>
        <w:rPr>
          <w:color w:val="231F20"/>
        </w:rPr>
        <w:t>nieużyteczna</w:t>
      </w:r>
      <w:r>
        <w:rPr>
          <w:color w:val="231F20"/>
          <w:spacing w:val="-5"/>
        </w:rPr>
        <w:t> </w:t>
      </w:r>
      <w:r>
        <w:rPr>
          <w:color w:val="231F20"/>
        </w:rPr>
        <w:t>ze</w:t>
      </w:r>
      <w:r>
        <w:rPr>
          <w:color w:val="231F20"/>
          <w:spacing w:val="-5"/>
        </w:rPr>
        <w:t> </w:t>
      </w:r>
      <w:r>
        <w:rPr>
          <w:color w:val="231F20"/>
        </w:rPr>
        <w:t>względu</w:t>
      </w:r>
      <w:r>
        <w:rPr>
          <w:color w:val="231F20"/>
          <w:spacing w:val="-5"/>
        </w:rPr>
        <w:t> </w:t>
      </w:r>
      <w:r>
        <w:rPr>
          <w:color w:val="231F20"/>
        </w:rPr>
        <w:t>na</w:t>
      </w:r>
      <w:r>
        <w:rPr>
          <w:color w:val="231F20"/>
          <w:spacing w:val="-5"/>
        </w:rPr>
        <w:t> </w:t>
      </w:r>
      <w:r>
        <w:rPr>
          <w:color w:val="231F20"/>
        </w:rPr>
        <w:t>konieczność</w:t>
      </w:r>
      <w:r>
        <w:rPr>
          <w:color w:val="231F20"/>
          <w:spacing w:val="-5"/>
        </w:rPr>
        <w:t> </w:t>
      </w:r>
      <w:r>
        <w:rPr>
          <w:color w:val="231F20"/>
        </w:rPr>
        <w:t>zapewnienia</w:t>
      </w:r>
      <w:r>
        <w:rPr>
          <w:color w:val="231F20"/>
          <w:spacing w:val="-5"/>
        </w:rPr>
        <w:t> </w:t>
      </w:r>
      <w:r>
        <w:rPr>
          <w:color w:val="231F20"/>
        </w:rPr>
        <w:t>dojścia do pomieszczenia technicznego</w:t>
      </w:r>
    </w:p>
    <w:p>
      <w:pPr>
        <w:pStyle w:val="BodyText"/>
        <w:spacing w:before="41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2549535</wp:posOffset>
            </wp:positionH>
            <wp:positionV relativeFrom="paragraph">
              <wp:posOffset>187603</wp:posOffset>
            </wp:positionV>
            <wp:extent cx="2865116" cy="1886712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16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6"/>
        <w:rPr>
          <w:rFonts w:ascii="Arial"/>
          <w:b/>
        </w:rPr>
      </w:pPr>
    </w:p>
    <w:p>
      <w:pPr>
        <w:spacing w:before="0"/>
        <w:ind w:left="70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20"/>
        </w:numPr>
        <w:tabs>
          <w:tab w:pos="1049" w:val="left" w:leader="none"/>
        </w:tabs>
        <w:spacing w:line="240" w:lineRule="auto" w:before="69" w:after="0"/>
        <w:ind w:left="1049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konstrukcyjnych</w:t>
      </w:r>
    </w:p>
    <w:p>
      <w:pPr>
        <w:pStyle w:val="ListParagraph"/>
        <w:numPr>
          <w:ilvl w:val="0"/>
          <w:numId w:val="20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pacing w:val="-8"/>
          <w:sz w:val="18"/>
        </w:rPr>
        <w:t>drzwi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8"/>
          <w:sz w:val="18"/>
        </w:rPr>
        <w:t>zapewniające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8"/>
          <w:sz w:val="18"/>
        </w:rPr>
        <w:t>dostęp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8"/>
          <w:sz w:val="18"/>
        </w:rPr>
        <w:t>do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8"/>
          <w:sz w:val="18"/>
        </w:rPr>
        <w:t>poddasza</w:t>
      </w:r>
    </w:p>
    <w:p>
      <w:pPr>
        <w:pStyle w:val="ListParagraph"/>
        <w:numPr>
          <w:ilvl w:val="0"/>
          <w:numId w:val="20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funkcjonalnych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spacing w:line="249" w:lineRule="auto"/>
        <w:ind w:left="1130" w:right="562"/>
        <w:jc w:val="center"/>
      </w:pPr>
      <w:r>
        <w:rPr>
          <w:color w:val="231F20"/>
        </w:rPr>
        <w:t>Rysunek</w:t>
      </w:r>
      <w:r>
        <w:rPr>
          <w:color w:val="231F20"/>
          <w:spacing w:val="-4"/>
        </w:rPr>
        <w:t> </w:t>
      </w:r>
      <w:r>
        <w:rPr>
          <w:color w:val="231F20"/>
        </w:rPr>
        <w:t>12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Powierzchnia</w:t>
      </w:r>
      <w:r>
        <w:rPr>
          <w:color w:val="231F20"/>
          <w:spacing w:val="-4"/>
        </w:rPr>
        <w:t> </w:t>
      </w:r>
      <w:r>
        <w:rPr>
          <w:color w:val="231F20"/>
        </w:rPr>
        <w:t>nieużyteczna</w:t>
      </w:r>
      <w:r>
        <w:rPr>
          <w:color w:val="231F20"/>
          <w:spacing w:val="-4"/>
        </w:rPr>
        <w:t> </w:t>
      </w:r>
      <w:r>
        <w:rPr>
          <w:color w:val="231F20"/>
        </w:rPr>
        <w:t>ze</w:t>
      </w:r>
      <w:r>
        <w:rPr>
          <w:color w:val="231F20"/>
          <w:spacing w:val="-4"/>
        </w:rPr>
        <w:t> </w:t>
      </w:r>
      <w:r>
        <w:rPr>
          <w:color w:val="231F20"/>
        </w:rPr>
        <w:t>względu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konieczność</w:t>
      </w:r>
      <w:r>
        <w:rPr>
          <w:color w:val="231F20"/>
          <w:spacing w:val="-4"/>
        </w:rPr>
        <w:t> </w:t>
      </w:r>
      <w:r>
        <w:rPr>
          <w:color w:val="231F20"/>
        </w:rPr>
        <w:t>zapewnienia</w:t>
      </w:r>
      <w:r>
        <w:rPr>
          <w:color w:val="231F20"/>
          <w:spacing w:val="-4"/>
        </w:rPr>
        <w:t> </w:t>
      </w:r>
      <w:r>
        <w:rPr>
          <w:color w:val="231F20"/>
        </w:rPr>
        <w:t>dostępu do poddasza</w:t>
      </w:r>
    </w:p>
    <w:p>
      <w:pPr>
        <w:pStyle w:val="Heading4"/>
        <w:spacing w:after="0" w:line="249" w:lineRule="auto"/>
        <w:jc w:val="center"/>
        <w:sectPr>
          <w:pgSz w:w="11910" w:h="16840"/>
          <w:pgMar w:header="0" w:footer="512" w:top="1240" w:bottom="700" w:left="708" w:right="708"/>
        </w:sectPr>
      </w:pPr>
    </w:p>
    <w:p>
      <w:pPr>
        <w:pStyle w:val="BodyText"/>
        <w:spacing w:before="163"/>
        <w:rPr>
          <w:rFonts w:ascii="Arial"/>
          <w:b/>
        </w:rPr>
      </w:pPr>
    </w:p>
    <w:p>
      <w:pPr>
        <w:pStyle w:val="BodyText"/>
        <w:ind w:left="3697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1612391" cy="886968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391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pStyle w:val="BodyText"/>
        <w:spacing w:before="88"/>
        <w:rPr>
          <w:rFonts w:ascii="Arial"/>
          <w:b/>
          <w:sz w:val="18"/>
        </w:rPr>
      </w:pPr>
    </w:p>
    <w:p>
      <w:pPr>
        <w:spacing w:before="0"/>
        <w:ind w:left="14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21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2"/>
          <w:sz w:val="18"/>
        </w:rPr>
        <w:t>przewód</w:t>
      </w:r>
    </w:p>
    <w:p>
      <w:pPr>
        <w:pStyle w:val="ListParagraph"/>
        <w:numPr>
          <w:ilvl w:val="0"/>
          <w:numId w:val="21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4"/>
          <w:sz w:val="18"/>
        </w:rPr>
        <w:t>rury</w:t>
      </w:r>
    </w:p>
    <w:p>
      <w:pPr>
        <w:pStyle w:val="ListParagraph"/>
        <w:numPr>
          <w:ilvl w:val="0"/>
          <w:numId w:val="21"/>
        </w:numPr>
        <w:tabs>
          <w:tab w:pos="482" w:val="left" w:leader="none"/>
        </w:tabs>
        <w:spacing w:line="240" w:lineRule="auto" w:before="69" w:after="0"/>
        <w:ind w:left="482" w:right="0" w:hanging="340"/>
        <w:jc w:val="left"/>
        <w:rPr>
          <w:sz w:val="18"/>
        </w:rPr>
      </w:pPr>
      <w:r>
        <w:rPr>
          <w:color w:val="231F20"/>
          <w:spacing w:val="-2"/>
          <w:sz w:val="18"/>
        </w:rPr>
        <w:t>drzwiczki</w:t>
      </w:r>
    </w:p>
    <w:p>
      <w:pPr>
        <w:pStyle w:val="ListParagraph"/>
        <w:numPr>
          <w:ilvl w:val="0"/>
          <w:numId w:val="21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funkcjonalnych</w:t>
      </w:r>
    </w:p>
    <w:p>
      <w:pPr>
        <w:pStyle w:val="ListParagraph"/>
        <w:numPr>
          <w:ilvl w:val="0"/>
          <w:numId w:val="21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konstrukcyjnych</w:t>
      </w:r>
    </w:p>
    <w:p>
      <w:pPr>
        <w:pStyle w:val="ListParagraph"/>
        <w:numPr>
          <w:ilvl w:val="0"/>
          <w:numId w:val="21"/>
        </w:numPr>
        <w:tabs>
          <w:tab w:pos="482" w:val="left" w:leader="none"/>
        </w:tabs>
        <w:spacing w:line="240" w:lineRule="auto" w:before="69" w:after="0"/>
        <w:ind w:left="482" w:right="0" w:hanging="340"/>
        <w:jc w:val="left"/>
        <w:rPr>
          <w:sz w:val="18"/>
        </w:rPr>
      </w:pPr>
      <w:r>
        <w:rPr>
          <w:color w:val="231F20"/>
          <w:spacing w:val="-4"/>
          <w:sz w:val="18"/>
        </w:rPr>
        <w:t>słup</w:t>
      </w:r>
    </w:p>
    <w:p>
      <w:pPr>
        <w:pStyle w:val="BodyText"/>
        <w:spacing w:before="63"/>
        <w:rPr>
          <w:sz w:val="18"/>
        </w:rPr>
      </w:pPr>
    </w:p>
    <w:p>
      <w:pPr>
        <w:pStyle w:val="Heading4"/>
        <w:spacing w:line="249" w:lineRule="auto"/>
        <w:ind w:left="612" w:right="1178"/>
        <w:jc w:val="center"/>
      </w:pPr>
      <w:r>
        <w:rPr>
          <w:color w:val="231F20"/>
        </w:rPr>
        <w:t>Rysunek</w:t>
      </w:r>
      <w:r>
        <w:rPr>
          <w:color w:val="231F20"/>
          <w:spacing w:val="-4"/>
        </w:rPr>
        <w:t> </w:t>
      </w:r>
      <w:r>
        <w:rPr>
          <w:color w:val="231F20"/>
        </w:rPr>
        <w:t>13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Powierzchnia</w:t>
      </w:r>
      <w:r>
        <w:rPr>
          <w:color w:val="231F20"/>
          <w:spacing w:val="-4"/>
        </w:rPr>
        <w:t> </w:t>
      </w:r>
      <w:r>
        <w:rPr>
          <w:color w:val="231F20"/>
        </w:rPr>
        <w:t>nieużyteczna</w:t>
      </w:r>
      <w:r>
        <w:rPr>
          <w:color w:val="231F20"/>
          <w:spacing w:val="-4"/>
        </w:rPr>
        <w:t> </w:t>
      </w:r>
      <w:r>
        <w:rPr>
          <w:color w:val="231F20"/>
        </w:rPr>
        <w:t>ze</w:t>
      </w:r>
      <w:r>
        <w:rPr>
          <w:color w:val="231F20"/>
          <w:spacing w:val="-4"/>
        </w:rPr>
        <w:t> </w:t>
      </w:r>
      <w:r>
        <w:rPr>
          <w:color w:val="231F20"/>
        </w:rPr>
        <w:t>względu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konieczność</w:t>
      </w:r>
      <w:r>
        <w:rPr>
          <w:color w:val="231F20"/>
          <w:spacing w:val="-4"/>
        </w:rPr>
        <w:t> </w:t>
      </w:r>
      <w:r>
        <w:rPr>
          <w:color w:val="231F20"/>
        </w:rPr>
        <w:t>zapewnienia</w:t>
      </w:r>
      <w:r>
        <w:rPr>
          <w:color w:val="231F20"/>
          <w:spacing w:val="-4"/>
        </w:rPr>
        <w:t> </w:t>
      </w:r>
      <w:r>
        <w:rPr>
          <w:color w:val="231F20"/>
        </w:rPr>
        <w:t>dostępu do instalacji zbiorczych</w:t>
      </w:r>
    </w:p>
    <w:p>
      <w:pPr>
        <w:pStyle w:val="BodyText"/>
        <w:spacing w:before="72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2164388</wp:posOffset>
            </wp:positionH>
            <wp:positionV relativeFrom="paragraph">
              <wp:posOffset>207056</wp:posOffset>
            </wp:positionV>
            <wp:extent cx="2868167" cy="1965960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167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9"/>
        <w:rPr>
          <w:rFonts w:ascii="Arial"/>
          <w:b/>
        </w:rPr>
      </w:pPr>
    </w:p>
    <w:p>
      <w:pPr>
        <w:spacing w:before="0"/>
        <w:ind w:left="14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22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z w:val="18"/>
        </w:rPr>
        <w:t>wzmocnienie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antysejsmiczne</w:t>
      </w:r>
    </w:p>
    <w:p>
      <w:pPr>
        <w:pStyle w:val="ListParagraph"/>
        <w:numPr>
          <w:ilvl w:val="0"/>
          <w:numId w:val="22"/>
        </w:numPr>
        <w:tabs>
          <w:tab w:pos="482" w:val="left" w:leader="none"/>
        </w:tabs>
        <w:spacing w:line="240" w:lineRule="auto" w:before="69" w:after="0"/>
        <w:ind w:left="482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funkcjonalnych</w:t>
      </w:r>
    </w:p>
    <w:p>
      <w:pPr>
        <w:pStyle w:val="ListParagraph"/>
        <w:numPr>
          <w:ilvl w:val="0"/>
          <w:numId w:val="22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konstrukcyjnych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spacing w:line="249" w:lineRule="auto"/>
        <w:ind w:left="113" w:right="679"/>
        <w:jc w:val="center"/>
      </w:pPr>
      <w:r>
        <w:rPr>
          <w:color w:val="231F20"/>
        </w:rPr>
        <w:t>Rysunek</w:t>
      </w:r>
      <w:r>
        <w:rPr>
          <w:color w:val="231F20"/>
          <w:spacing w:val="-4"/>
        </w:rPr>
        <w:t> </w:t>
      </w:r>
      <w:r>
        <w:rPr>
          <w:color w:val="231F20"/>
        </w:rPr>
        <w:t>14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Powierzchnia</w:t>
      </w:r>
      <w:r>
        <w:rPr>
          <w:color w:val="231F20"/>
          <w:spacing w:val="-4"/>
        </w:rPr>
        <w:t> </w:t>
      </w:r>
      <w:r>
        <w:rPr>
          <w:color w:val="231F20"/>
        </w:rPr>
        <w:t>nieużyteczna</w:t>
      </w:r>
      <w:r>
        <w:rPr>
          <w:color w:val="231F20"/>
          <w:spacing w:val="-4"/>
        </w:rPr>
        <w:t> </w:t>
      </w:r>
      <w:r>
        <w:rPr>
          <w:color w:val="231F20"/>
        </w:rPr>
        <w:t>ze</w:t>
      </w:r>
      <w:r>
        <w:rPr>
          <w:color w:val="231F20"/>
          <w:spacing w:val="-4"/>
        </w:rPr>
        <w:t> </w:t>
      </w:r>
      <w:r>
        <w:rPr>
          <w:color w:val="231F20"/>
        </w:rPr>
        <w:t>względu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konieczność</w:t>
      </w:r>
      <w:r>
        <w:rPr>
          <w:color w:val="231F20"/>
          <w:spacing w:val="-4"/>
        </w:rPr>
        <w:t> </w:t>
      </w:r>
      <w:r>
        <w:rPr>
          <w:color w:val="231F20"/>
        </w:rPr>
        <w:t>umieszczenia</w:t>
      </w:r>
      <w:r>
        <w:rPr>
          <w:color w:val="231F20"/>
          <w:spacing w:val="-4"/>
        </w:rPr>
        <w:t> </w:t>
      </w:r>
      <w:r>
        <w:rPr>
          <w:color w:val="231F20"/>
        </w:rPr>
        <w:t>wzmocnienia antysejsmicznego między słupami</w:t>
      </w:r>
    </w:p>
    <w:p>
      <w:pPr>
        <w:pStyle w:val="ListParagraph"/>
        <w:numPr>
          <w:ilvl w:val="0"/>
          <w:numId w:val="11"/>
        </w:numPr>
        <w:tabs>
          <w:tab w:pos="480" w:val="left" w:leader="none"/>
          <w:tab w:pos="482" w:val="left" w:leader="none"/>
        </w:tabs>
        <w:spacing w:line="249" w:lineRule="auto" w:before="172" w:after="0"/>
        <w:ind w:left="482" w:right="706" w:hanging="341"/>
        <w:jc w:val="both"/>
        <w:rPr>
          <w:sz w:val="20"/>
        </w:rPr>
      </w:pPr>
      <w:r>
        <w:rPr>
          <w:color w:val="231F20"/>
          <w:w w:val="90"/>
          <w:sz w:val="20"/>
        </w:rPr>
        <w:t>Jeżeli występują ograniczenia w użytkowaniu części powierzchni użytkowej ze względu na niższe dopusz- </w:t>
      </w:r>
      <w:r>
        <w:rPr>
          <w:color w:val="231F20"/>
          <w:sz w:val="20"/>
        </w:rPr>
        <w:t>czalne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obciążenie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stropu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niż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wynika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mających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zastosowanie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przepisów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techniczno-budowlanych, </w:t>
      </w:r>
      <w:r>
        <w:rPr>
          <w:color w:val="231F20"/>
          <w:spacing w:val="-4"/>
          <w:sz w:val="20"/>
        </w:rPr>
        <w:t>co powoduje potrzebę rozmieszczenia mebli i urządzeń na większej powierzchni niż byłoby to normalnie potrzebne,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to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ta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wymagana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dodatkowa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powierzchnia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kondygnacji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jest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powierzchnią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nieużyteczną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budynku </w:t>
      </w:r>
      <w:r>
        <w:rPr>
          <w:color w:val="231F20"/>
          <w:sz w:val="20"/>
        </w:rPr>
        <w:t>ze względów funkcjonalnych (patrz Rysunek 15).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BodyText"/>
        <w:spacing w:before="165"/>
      </w:pPr>
    </w:p>
    <w:p>
      <w:pPr>
        <w:pStyle w:val="BodyText"/>
        <w:ind w:left="3764"/>
      </w:pPr>
      <w:r>
        <w:rPr/>
        <w:drawing>
          <wp:inline distT="0" distB="0" distL="0" distR="0">
            <wp:extent cx="2208276" cy="2618231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276" cy="261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33"/>
        <w:rPr>
          <w:sz w:val="18"/>
        </w:rPr>
      </w:pPr>
    </w:p>
    <w:p>
      <w:pPr>
        <w:spacing w:before="0"/>
        <w:ind w:left="709" w:right="0" w:firstLine="0"/>
        <w:jc w:val="left"/>
        <w:rPr>
          <w:rFonts w:ascii="Arial" w:hAnsi="Arial"/>
          <w:b/>
          <w:sz w:val="18"/>
        </w:rPr>
      </w:pPr>
      <w:bookmarkStart w:name="5.2 Kubatury" w:id="33"/>
      <w:bookmarkEnd w:id="33"/>
      <w:r>
        <w:rPr/>
      </w:r>
      <w:bookmarkStart w:name="5..2.1 Zasady obliczeń" w:id="34"/>
      <w:bookmarkEnd w:id="34"/>
      <w:r>
        <w:rPr/>
      </w:r>
      <w:bookmarkStart w:name="_bookmark9" w:id="35"/>
      <w:bookmarkEnd w:id="35"/>
      <w:r>
        <w:rPr/>
      </w: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23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w w:val="80"/>
          <w:sz w:val="18"/>
        </w:rPr>
        <w:t>rząd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regałów</w:t>
      </w:r>
    </w:p>
    <w:p>
      <w:pPr>
        <w:pStyle w:val="ListParagraph"/>
        <w:numPr>
          <w:ilvl w:val="0"/>
          <w:numId w:val="23"/>
        </w:numPr>
        <w:tabs>
          <w:tab w:pos="1049" w:val="left" w:leader="none"/>
        </w:tabs>
        <w:spacing w:line="240" w:lineRule="auto" w:before="70" w:after="0"/>
        <w:ind w:left="1049" w:right="0" w:hanging="340"/>
        <w:jc w:val="left"/>
        <w:rPr>
          <w:sz w:val="18"/>
        </w:rPr>
      </w:pPr>
      <w:r>
        <w:rPr>
          <w:color w:val="231F20"/>
          <w:spacing w:val="-6"/>
          <w:sz w:val="18"/>
        </w:rPr>
        <w:t>powierzchnia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nieużyteczna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ze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względów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funkcjonalnych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spacing w:line="249" w:lineRule="auto"/>
        <w:ind w:left="3877" w:hanging="2646"/>
      </w:pPr>
      <w:r>
        <w:rPr>
          <w:color w:val="231F20"/>
        </w:rPr>
        <w:t>Rysunek</w:t>
      </w:r>
      <w:r>
        <w:rPr>
          <w:color w:val="231F20"/>
          <w:spacing w:val="-4"/>
        </w:rPr>
        <w:t> </w:t>
      </w:r>
      <w:r>
        <w:rPr>
          <w:color w:val="231F20"/>
        </w:rPr>
        <w:t>15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Powierzchnia</w:t>
      </w:r>
      <w:r>
        <w:rPr>
          <w:color w:val="231F20"/>
          <w:spacing w:val="-4"/>
        </w:rPr>
        <w:t> </w:t>
      </w:r>
      <w:r>
        <w:rPr>
          <w:color w:val="231F20"/>
        </w:rPr>
        <w:t>nieużyteczna</w:t>
      </w:r>
      <w:r>
        <w:rPr>
          <w:color w:val="231F20"/>
          <w:spacing w:val="-4"/>
        </w:rPr>
        <w:t> </w:t>
      </w:r>
      <w:r>
        <w:rPr>
          <w:color w:val="231F20"/>
        </w:rPr>
        <w:t>ze</w:t>
      </w:r>
      <w:r>
        <w:rPr>
          <w:color w:val="231F20"/>
          <w:spacing w:val="-4"/>
        </w:rPr>
        <w:t> </w:t>
      </w:r>
      <w:r>
        <w:rPr>
          <w:color w:val="231F20"/>
        </w:rPr>
        <w:t>względów</w:t>
      </w:r>
      <w:r>
        <w:rPr>
          <w:color w:val="231F20"/>
          <w:spacing w:val="-4"/>
        </w:rPr>
        <w:t> </w:t>
      </w:r>
      <w:r>
        <w:rPr>
          <w:color w:val="231F20"/>
        </w:rPr>
        <w:t>funkcjonalnych</w:t>
      </w:r>
      <w:r>
        <w:rPr>
          <w:color w:val="231F20"/>
          <w:spacing w:val="-4"/>
        </w:rPr>
        <w:t> </w:t>
      </w:r>
      <w:r>
        <w:rPr>
          <w:color w:val="231F20"/>
        </w:rPr>
        <w:t>powstała</w:t>
      </w:r>
      <w:r>
        <w:rPr>
          <w:color w:val="231F20"/>
          <w:spacing w:val="-4"/>
        </w:rPr>
        <w:t> </w:t>
      </w:r>
      <w:r>
        <w:rPr>
          <w:color w:val="231F20"/>
        </w:rPr>
        <w:t>na</w:t>
      </w:r>
      <w:r>
        <w:rPr>
          <w:color w:val="231F20"/>
          <w:spacing w:val="-4"/>
        </w:rPr>
        <w:t> </w:t>
      </w:r>
      <w:r>
        <w:rPr>
          <w:color w:val="231F20"/>
        </w:rPr>
        <w:t>skutek niewystarczającej nośności stropu</w:t>
      </w:r>
    </w:p>
    <w:p>
      <w:pPr>
        <w:pStyle w:val="ListParagraph"/>
        <w:numPr>
          <w:ilvl w:val="1"/>
          <w:numId w:val="23"/>
        </w:numPr>
        <w:tabs>
          <w:tab w:pos="1047" w:val="left" w:leader="none"/>
          <w:tab w:pos="1049" w:val="left" w:leader="none"/>
        </w:tabs>
        <w:spacing w:line="249" w:lineRule="auto" w:before="172" w:after="0"/>
        <w:ind w:left="1049" w:right="139" w:hanging="341"/>
        <w:jc w:val="both"/>
        <w:rPr>
          <w:sz w:val="20"/>
        </w:rPr>
      </w:pPr>
      <w:r>
        <w:rPr>
          <w:color w:val="231F20"/>
          <w:spacing w:val="-4"/>
          <w:sz w:val="20"/>
        </w:rPr>
        <w:t>Jeżeli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część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powierzchni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użytkowej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lub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powierzchni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ruchu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jest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zajęta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przez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wystający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parapet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okienny, </w:t>
      </w:r>
      <w:r>
        <w:rPr>
          <w:color w:val="231F20"/>
          <w:sz w:val="20"/>
        </w:rPr>
        <w:t>grzejnik,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konwektor,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rury,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elementy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instalacji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lub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inne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stałe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elementy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powierzchni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tej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nie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można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efektyw- </w:t>
      </w:r>
      <w:r>
        <w:rPr>
          <w:color w:val="231F20"/>
          <w:spacing w:val="-6"/>
          <w:sz w:val="20"/>
        </w:rPr>
        <w:t>nie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umeblować,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czy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też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wykorzystać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pełnienia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innych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funkcji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użytkowych,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to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ta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część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powierzchni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jest </w:t>
      </w:r>
      <w:r>
        <w:rPr>
          <w:color w:val="231F20"/>
          <w:spacing w:val="-2"/>
          <w:sz w:val="20"/>
        </w:rPr>
        <w:t>powierzchnią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nieużyteczną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budynku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ze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względów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funkcjonalnych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(patrz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Rysunki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5,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6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7).</w:t>
      </w:r>
    </w:p>
    <w:p>
      <w:pPr>
        <w:pStyle w:val="ListParagraph"/>
        <w:numPr>
          <w:ilvl w:val="0"/>
          <w:numId w:val="9"/>
        </w:numPr>
        <w:tabs>
          <w:tab w:pos="1047" w:val="left" w:leader="none"/>
          <w:tab w:pos="1049" w:val="left" w:leader="none"/>
        </w:tabs>
        <w:spacing w:line="249" w:lineRule="auto" w:before="173" w:after="0"/>
        <w:ind w:left="1049" w:right="134" w:hanging="341"/>
        <w:jc w:val="both"/>
        <w:rPr>
          <w:sz w:val="20"/>
        </w:rPr>
      </w:pPr>
      <w:r>
        <w:rPr>
          <w:color w:val="231F20"/>
          <w:spacing w:val="-6"/>
          <w:sz w:val="20"/>
        </w:rPr>
        <w:t>Jeżeli część powierzchni użytkowej lub powierzchni ruchu jest zajęta przez możliwy do zdemontowania </w:t>
      </w:r>
      <w:r>
        <w:rPr>
          <w:color w:val="231F20"/>
          <w:spacing w:val="-4"/>
          <w:sz w:val="20"/>
        </w:rPr>
        <w:t>element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budynku,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jak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ściana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działowa,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rura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lub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przewód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niezbędny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normalnego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funkcjonowania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całości, </w:t>
      </w:r>
      <w:r>
        <w:rPr>
          <w:color w:val="231F20"/>
          <w:spacing w:val="-8"/>
          <w:sz w:val="20"/>
        </w:rPr>
        <w:t>to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ta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część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jest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powierzchnią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nieużyteczną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budynku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ze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względów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funkcjonalnych.</w:t>
      </w:r>
    </w:p>
    <w:p>
      <w:pPr>
        <w:pStyle w:val="BodyText"/>
        <w:spacing w:before="114"/>
      </w:pPr>
    </w:p>
    <w:p>
      <w:pPr>
        <w:pStyle w:val="Heading3"/>
        <w:numPr>
          <w:ilvl w:val="1"/>
          <w:numId w:val="3"/>
        </w:numPr>
        <w:tabs>
          <w:tab w:pos="1219" w:val="left" w:leader="none"/>
        </w:tabs>
        <w:spacing w:line="240" w:lineRule="auto" w:before="0" w:after="0"/>
        <w:ind w:left="1219" w:right="0" w:hanging="510"/>
        <w:jc w:val="left"/>
        <w:rPr>
          <w:color w:val="231F20"/>
        </w:rPr>
      </w:pPr>
      <w:r>
        <w:rPr>
          <w:color w:val="231F20"/>
          <w:spacing w:val="-2"/>
        </w:rPr>
        <w:t>Kubatury</w:t>
      </w:r>
    </w:p>
    <w:p>
      <w:pPr>
        <w:tabs>
          <w:tab w:pos="1673" w:val="left" w:leader="none"/>
        </w:tabs>
        <w:spacing w:before="175"/>
        <w:ind w:left="709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UWAGA</w:t>
      </w:r>
      <w:r>
        <w:rPr>
          <w:color w:val="231F20"/>
          <w:sz w:val="18"/>
        </w:rPr>
        <w:tab/>
        <w:t>Patrz Rysunek </w:t>
      </w:r>
      <w:r>
        <w:rPr>
          <w:color w:val="231F20"/>
          <w:spacing w:val="-5"/>
          <w:sz w:val="18"/>
        </w:rPr>
        <w:t>16.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numPr>
          <w:ilvl w:val="2"/>
          <w:numId w:val="3"/>
        </w:numPr>
        <w:tabs>
          <w:tab w:pos="1328" w:val="left" w:leader="none"/>
        </w:tabs>
        <w:spacing w:line="240" w:lineRule="auto" w:before="0" w:after="0"/>
        <w:ind w:left="1328" w:right="0" w:hanging="619"/>
        <w:jc w:val="left"/>
      </w:pPr>
      <w:r>
        <w:rPr>
          <w:color w:val="231F20"/>
        </w:rPr>
        <w:t>Zasady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obliczeń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49" w:lineRule="auto" w:before="0" w:after="0"/>
        <w:ind w:left="709" w:right="141" w:firstLine="0"/>
        <w:jc w:val="left"/>
        <w:rPr>
          <w:sz w:val="20"/>
        </w:rPr>
      </w:pPr>
      <w:r>
        <w:rPr>
          <w:color w:val="231F20"/>
          <w:spacing w:val="-4"/>
          <w:sz w:val="20"/>
        </w:rPr>
        <w:t>Kubatura brutto budynku jest objętością przestrzeni utworzonej przez zewnętrzne powierzchnie ele- </w:t>
      </w:r>
      <w:r>
        <w:rPr>
          <w:color w:val="231F20"/>
          <w:spacing w:val="-6"/>
          <w:sz w:val="20"/>
        </w:rPr>
        <w:t>mentów ograniczających. Należy rozróżniać następujące, podane kolejno kubatury:</w:t>
      </w:r>
    </w:p>
    <w:p>
      <w:pPr>
        <w:pStyle w:val="ListParagraph"/>
        <w:numPr>
          <w:ilvl w:val="0"/>
          <w:numId w:val="24"/>
        </w:numPr>
        <w:tabs>
          <w:tab w:pos="1047" w:val="left" w:leader="none"/>
          <w:tab w:pos="1049" w:val="left" w:leader="none"/>
        </w:tabs>
        <w:spacing w:line="249" w:lineRule="auto" w:before="172" w:after="0"/>
        <w:ind w:left="1049" w:right="142" w:hanging="341"/>
        <w:jc w:val="both"/>
        <w:rPr>
          <w:sz w:val="20"/>
        </w:rPr>
      </w:pPr>
      <w:r>
        <w:rPr>
          <w:color w:val="231F20"/>
          <w:spacing w:val="-2"/>
          <w:sz w:val="20"/>
        </w:rPr>
        <w:t>kubatura brutto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budynków lub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części budynków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zamkniętych ze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wszystkich stron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zewnętrznymi stałymi </w:t>
      </w:r>
      <w:r>
        <w:rPr>
          <w:color w:val="231F20"/>
          <w:sz w:val="20"/>
        </w:rPr>
        <w:t>przegrodami budowlanymi i przekrytych zgodnie z 5.1.3.1 a) (patrz 5.2.2);</w:t>
      </w:r>
    </w:p>
    <w:p>
      <w:pPr>
        <w:pStyle w:val="ListParagraph"/>
        <w:numPr>
          <w:ilvl w:val="0"/>
          <w:numId w:val="24"/>
        </w:numPr>
        <w:tabs>
          <w:tab w:pos="1047" w:val="left" w:leader="none"/>
          <w:tab w:pos="1049" w:val="left" w:leader="none"/>
        </w:tabs>
        <w:spacing w:line="249" w:lineRule="auto" w:before="172" w:after="0"/>
        <w:ind w:left="1049" w:right="140" w:hanging="341"/>
        <w:jc w:val="both"/>
        <w:rPr>
          <w:sz w:val="20"/>
        </w:rPr>
      </w:pPr>
      <w:r>
        <w:rPr>
          <w:color w:val="231F20"/>
          <w:spacing w:val="-4"/>
          <w:sz w:val="20"/>
        </w:rPr>
        <w:t>kubatura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brutto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części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budynków,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które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nie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są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zamknięte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ze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wszystkich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stron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zewnętrznymi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stałymi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prze- </w:t>
      </w:r>
      <w:r>
        <w:rPr>
          <w:color w:val="231F20"/>
          <w:sz w:val="20"/>
        </w:rPr>
        <w:t>grodami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budowlanymi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pełnej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wysokości,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lecz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są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przekryte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zgodnie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5.1.3.1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b)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(patrz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5.2.3);</w:t>
      </w:r>
    </w:p>
    <w:p>
      <w:pPr>
        <w:pStyle w:val="ListParagraph"/>
        <w:numPr>
          <w:ilvl w:val="0"/>
          <w:numId w:val="24"/>
        </w:numPr>
        <w:tabs>
          <w:tab w:pos="1047" w:val="left" w:leader="none"/>
          <w:tab w:pos="1049" w:val="left" w:leader="none"/>
        </w:tabs>
        <w:spacing w:line="249" w:lineRule="auto" w:before="171" w:after="0"/>
        <w:ind w:left="1049" w:right="139" w:hanging="341"/>
        <w:jc w:val="both"/>
        <w:rPr>
          <w:sz w:val="20"/>
        </w:rPr>
      </w:pPr>
      <w:r>
        <w:rPr>
          <w:color w:val="231F20"/>
          <w:sz w:val="20"/>
        </w:rPr>
        <w:t>kubatura brutto budynków i części budynków, które są ograniczone innymi elementami budowlanymi (np.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balustradami,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osłonami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zabezpieczającymi,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poręczami),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lecz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nie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są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przekryte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zgodnie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5.1.3.1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c) (patrz 5.2.4).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ListParagraph"/>
        <w:numPr>
          <w:ilvl w:val="3"/>
          <w:numId w:val="3"/>
        </w:numPr>
        <w:tabs>
          <w:tab w:pos="953" w:val="left" w:leader="none"/>
        </w:tabs>
        <w:spacing w:line="249" w:lineRule="auto" w:before="229" w:after="0"/>
        <w:ind w:left="142" w:right="708" w:firstLine="0"/>
        <w:jc w:val="left"/>
        <w:rPr>
          <w:sz w:val="20"/>
        </w:rPr>
      </w:pPr>
      <w:r>
        <w:rPr>
          <w:color w:val="231F20"/>
          <w:spacing w:val="-4"/>
          <w:sz w:val="20"/>
        </w:rPr>
        <w:t>Kubatura netto budynku jest objętością przestrzeni utworzonej przez wewnętrzne powierzchnie ele- </w:t>
      </w:r>
      <w:r>
        <w:rPr>
          <w:color w:val="231F20"/>
          <w:spacing w:val="-6"/>
          <w:sz w:val="20"/>
        </w:rPr>
        <w:t>mentów ograniczających. Należy rozróżnić następujące, podane kolejno kubatury:</w:t>
      </w: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240" w:lineRule="auto" w:before="171" w:after="0"/>
        <w:ind w:left="481" w:right="0" w:hanging="339"/>
        <w:jc w:val="left"/>
        <w:rPr>
          <w:sz w:val="20"/>
        </w:rPr>
      </w:pPr>
      <w:r>
        <w:rPr>
          <w:color w:val="231F20"/>
          <w:spacing w:val="-2"/>
          <w:sz w:val="20"/>
        </w:rPr>
        <w:t>kubatura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netto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nad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powierzchnią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kondygnacji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netto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(patrz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5.1.5):</w:t>
      </w:r>
    </w:p>
    <w:p>
      <w:pPr>
        <w:pStyle w:val="ListParagraph"/>
        <w:numPr>
          <w:ilvl w:val="1"/>
          <w:numId w:val="25"/>
        </w:numPr>
        <w:tabs>
          <w:tab w:pos="821" w:val="left" w:leader="none"/>
        </w:tabs>
        <w:spacing w:line="240" w:lineRule="auto" w:before="180" w:after="0"/>
        <w:ind w:left="82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pełnych</w:t>
      </w:r>
      <w:r>
        <w:rPr>
          <w:color w:val="231F20"/>
          <w:spacing w:val="-2"/>
          <w:sz w:val="20"/>
          <w:vertAlign w:val="superscript"/>
        </w:rPr>
        <w:t>N4)</w:t>
      </w:r>
      <w:r>
        <w:rPr>
          <w:color w:val="231F20"/>
          <w:spacing w:val="-2"/>
          <w:sz w:val="20"/>
          <w:vertAlign w:val="baseline"/>
        </w:rPr>
        <w:t>;</w:t>
      </w:r>
    </w:p>
    <w:p>
      <w:pPr>
        <w:pStyle w:val="ListParagraph"/>
        <w:numPr>
          <w:ilvl w:val="1"/>
          <w:numId w:val="25"/>
        </w:numPr>
        <w:tabs>
          <w:tab w:pos="821" w:val="left" w:leader="none"/>
        </w:tabs>
        <w:spacing w:line="240" w:lineRule="auto" w:before="180" w:after="0"/>
        <w:ind w:left="82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podziemnych;</w:t>
      </w:r>
    </w:p>
    <w:p>
      <w:pPr>
        <w:pStyle w:val="ListParagraph"/>
        <w:numPr>
          <w:ilvl w:val="1"/>
          <w:numId w:val="25"/>
        </w:numPr>
        <w:tabs>
          <w:tab w:pos="821" w:val="left" w:leader="none"/>
        </w:tabs>
        <w:spacing w:line="240" w:lineRule="auto" w:before="181" w:after="0"/>
        <w:ind w:left="82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niepełnych.</w:t>
      </w: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pacing w:val="-8"/>
          <w:sz w:val="20"/>
        </w:rPr>
        <w:t>kubatura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8"/>
          <w:sz w:val="20"/>
        </w:rPr>
        <w:t>netto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8"/>
          <w:sz w:val="20"/>
        </w:rPr>
        <w:t>nad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8"/>
          <w:sz w:val="20"/>
        </w:rPr>
        <w:t>powierzchnią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8"/>
          <w:sz w:val="20"/>
        </w:rPr>
        <w:t>wewnętrzną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8"/>
          <w:sz w:val="20"/>
        </w:rPr>
        <w:t>(patrz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8"/>
          <w:sz w:val="20"/>
        </w:rPr>
        <w:t>5.1.4);</w:t>
      </w: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pacing w:val="-8"/>
          <w:sz w:val="20"/>
        </w:rPr>
        <w:t>kubatura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8"/>
          <w:sz w:val="20"/>
        </w:rPr>
        <w:t>netto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8"/>
          <w:sz w:val="20"/>
        </w:rPr>
        <w:t>nad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8"/>
          <w:sz w:val="20"/>
        </w:rPr>
        <w:t>powierzchnią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8"/>
          <w:sz w:val="20"/>
        </w:rPr>
        <w:t>użytkową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8"/>
          <w:sz w:val="20"/>
        </w:rPr>
        <w:t>(patrz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8"/>
          <w:sz w:val="20"/>
        </w:rPr>
        <w:t>5.1.7);</w:t>
      </w: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pacing w:val="-4"/>
          <w:sz w:val="20"/>
        </w:rPr>
        <w:t>kubatura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netto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nad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powierzchnią usługowo-techniczną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(patrz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5.1.8);</w:t>
      </w:r>
    </w:p>
    <w:p>
      <w:pPr>
        <w:pStyle w:val="ListParagraph"/>
        <w:numPr>
          <w:ilvl w:val="0"/>
          <w:numId w:val="25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pacing w:val="-2"/>
          <w:sz w:val="20"/>
        </w:rPr>
        <w:t>kubatura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netto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nad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powierzchnią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ruchu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(patrz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5.1.9).</w:t>
      </w:r>
    </w:p>
    <w:p>
      <w:pPr>
        <w:pStyle w:val="BodyText"/>
        <w:spacing w:before="35"/>
      </w:pPr>
    </w:p>
    <w:p>
      <w:pPr>
        <w:pStyle w:val="BodyText"/>
        <w:ind w:left="142"/>
      </w:pPr>
      <w:r>
        <w:rPr>
          <w:color w:val="231F20"/>
          <w:spacing w:val="-4"/>
        </w:rPr>
        <w:t>Wymienione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wyżej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kubatury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netto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można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dalej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dzielić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analogicznie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5.2.1.1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a),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b)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</w:t>
      </w:r>
      <w:r>
        <w:rPr>
          <w:color w:val="231F20"/>
          <w:spacing w:val="-5"/>
        </w:rPr>
        <w:t> c).</w:t>
      </w:r>
    </w:p>
    <w:p>
      <w:pPr>
        <w:pStyle w:val="BodyText"/>
        <w:spacing w:before="112"/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1544506</wp:posOffset>
            </wp:positionH>
            <wp:positionV relativeFrom="paragraph">
              <wp:posOffset>232623</wp:posOffset>
            </wp:positionV>
            <wp:extent cx="4009262" cy="2963227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262" cy="296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</w:pPr>
    </w:p>
    <w:p>
      <w:pPr>
        <w:spacing w:before="1"/>
        <w:ind w:left="142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2"/>
          <w:sz w:val="18"/>
        </w:rPr>
        <w:t>Objaśnienia</w:t>
      </w:r>
    </w:p>
    <w:p>
      <w:pPr>
        <w:pStyle w:val="ListParagraph"/>
        <w:numPr>
          <w:ilvl w:val="0"/>
          <w:numId w:val="26"/>
        </w:numPr>
        <w:tabs>
          <w:tab w:pos="482" w:val="left" w:leader="none"/>
        </w:tabs>
        <w:spacing w:line="240" w:lineRule="auto" w:before="69" w:after="0"/>
        <w:ind w:left="482" w:right="0" w:hanging="340"/>
        <w:jc w:val="left"/>
        <w:rPr>
          <w:sz w:val="18"/>
        </w:rPr>
      </w:pPr>
      <w:r>
        <w:rPr>
          <w:color w:val="231F20"/>
          <w:sz w:val="18"/>
        </w:rPr>
        <w:t>kubatura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brutto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(patrz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5.2.2)</w:t>
      </w:r>
    </w:p>
    <w:p>
      <w:pPr>
        <w:pStyle w:val="ListParagraph"/>
        <w:numPr>
          <w:ilvl w:val="0"/>
          <w:numId w:val="26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pacing w:val="-4"/>
          <w:sz w:val="18"/>
        </w:rPr>
        <w:t>kubatura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wewnętrzna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(patrz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5.2.6)</w:t>
      </w:r>
    </w:p>
    <w:p>
      <w:pPr>
        <w:pStyle w:val="ListParagraph"/>
        <w:numPr>
          <w:ilvl w:val="0"/>
          <w:numId w:val="26"/>
        </w:numPr>
        <w:tabs>
          <w:tab w:pos="482" w:val="left" w:leader="none"/>
        </w:tabs>
        <w:spacing w:line="240" w:lineRule="auto" w:before="70" w:after="0"/>
        <w:ind w:left="482" w:right="0" w:hanging="340"/>
        <w:jc w:val="left"/>
        <w:rPr>
          <w:sz w:val="18"/>
        </w:rPr>
      </w:pPr>
      <w:r>
        <w:rPr>
          <w:color w:val="231F20"/>
          <w:sz w:val="18"/>
        </w:rPr>
        <w:t>kubatura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netto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(patrz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5.2.5)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ind w:left="2254"/>
      </w:pPr>
      <w:r>
        <w:rPr>
          <w:color w:val="231F20"/>
        </w:rPr>
        <w:t>Rysunek</w:t>
      </w:r>
      <w:r>
        <w:rPr>
          <w:color w:val="231F20"/>
          <w:spacing w:val="-3"/>
        </w:rPr>
        <w:t> </w:t>
      </w:r>
      <w:r>
        <w:rPr>
          <w:color w:val="231F20"/>
        </w:rPr>
        <w:t>16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Ilustracja</w:t>
      </w:r>
      <w:r>
        <w:rPr>
          <w:color w:val="231F20"/>
          <w:spacing w:val="-3"/>
        </w:rPr>
        <w:t> </w:t>
      </w:r>
      <w:r>
        <w:rPr>
          <w:color w:val="231F20"/>
        </w:rPr>
        <w:t>podstawowych</w:t>
      </w:r>
      <w:r>
        <w:rPr>
          <w:color w:val="231F20"/>
          <w:spacing w:val="-3"/>
        </w:rPr>
        <w:t> </w:t>
      </w:r>
      <w:r>
        <w:rPr>
          <w:color w:val="231F20"/>
        </w:rPr>
        <w:t>rodzajów</w:t>
      </w:r>
      <w:r>
        <w:rPr>
          <w:color w:val="231F20"/>
          <w:spacing w:val="-2"/>
        </w:rPr>
        <w:t> kubatur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953" w:val="left" w:leader="none"/>
        </w:tabs>
        <w:spacing w:line="240" w:lineRule="auto" w:before="0" w:after="0"/>
        <w:ind w:left="953" w:right="0" w:hanging="811"/>
        <w:jc w:val="left"/>
        <w:rPr>
          <w:sz w:val="20"/>
        </w:rPr>
      </w:pPr>
      <w:r>
        <w:rPr>
          <w:color w:val="231F20"/>
          <w:spacing w:val="-6"/>
          <w:sz w:val="20"/>
        </w:rPr>
        <w:t>Kubatury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podaje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się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w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metrach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sześciennych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z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dokładnością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dwóch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miejsc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po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przecinku.</w:t>
      </w:r>
    </w:p>
    <w:p>
      <w:pPr>
        <w:pStyle w:val="BodyText"/>
        <w:spacing w:before="35"/>
      </w:pPr>
    </w:p>
    <w:p>
      <w:pPr>
        <w:pStyle w:val="ListParagraph"/>
        <w:numPr>
          <w:ilvl w:val="3"/>
          <w:numId w:val="3"/>
        </w:numPr>
        <w:tabs>
          <w:tab w:pos="953" w:val="left" w:leader="none"/>
        </w:tabs>
        <w:spacing w:line="249" w:lineRule="auto" w:before="0" w:after="0"/>
        <w:ind w:left="142" w:right="707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Podstawą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obliczania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kubatur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powierzchnie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określone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zgodnie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z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5.1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wysokości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nad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tymi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po- </w:t>
      </w:r>
      <w:r>
        <w:rPr>
          <w:color w:val="231F20"/>
          <w:spacing w:val="-6"/>
          <w:sz w:val="20"/>
        </w:rPr>
        <w:t>wierzchniami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(tj.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wysokość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budynku,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kondygnacji, pomieszczenia,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elementów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zamykających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ograniczających).</w:t>
      </w:r>
    </w:p>
    <w:p>
      <w:pPr>
        <w:pStyle w:val="BodyText"/>
        <w:spacing w:before="27"/>
      </w:pPr>
    </w:p>
    <w:p>
      <w:pPr>
        <w:pStyle w:val="BodyText"/>
        <w:spacing w:line="249" w:lineRule="auto"/>
        <w:ind w:left="142" w:right="702"/>
      </w:pPr>
      <w:r>
        <w:rPr>
          <w:color w:val="231F20"/>
          <w:spacing w:val="-4"/>
        </w:rPr>
        <w:t>Kubatury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budynków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lub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części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budynków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ograniczonych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powierzchniami,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które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nie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są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ani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poziome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ani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pionowe, </w:t>
      </w:r>
      <w:r>
        <w:rPr>
          <w:color w:val="231F20"/>
        </w:rPr>
        <w:t>oblicza się według odpowiednich wzorów matematycznych.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540000</wp:posOffset>
                </wp:positionH>
                <wp:positionV relativeFrom="paragraph">
                  <wp:posOffset>222399</wp:posOffset>
                </wp:positionV>
                <wp:extent cx="1080770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1080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770" h="0">
                              <a:moveTo>
                                <a:pt x="0" y="0"/>
                              </a:moveTo>
                              <a:lnTo>
                                <a:pt x="108022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17.511745pt;width:85.1pt;height:.1pt;mso-position-horizontal-relative:page;mso-position-vertical-relative:paragraph;z-index:-15718400;mso-wrap-distance-left:0;mso-wrap-distance-right:0" id="docshape20" coordorigin="850,350" coordsize="1702,0" path="m850,350l2552,35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67"/>
        <w:ind w:left="142" w:right="702" w:firstLine="0"/>
        <w:jc w:val="left"/>
        <w:rPr>
          <w:sz w:val="17"/>
        </w:rPr>
      </w:pPr>
      <w:r>
        <w:rPr>
          <w:color w:val="231F20"/>
          <w:sz w:val="17"/>
          <w:vertAlign w:val="superscript"/>
        </w:rPr>
        <w:t>N4)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Odsyłacz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krajowy: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Błąd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w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oryginale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ISO,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zamiast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„kondygnacji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pełnych”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powinno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być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„pełnych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kondygnacji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nadziemnych”</w:t>
      </w:r>
      <w:r>
        <w:rPr>
          <w:color w:val="231F20"/>
          <w:spacing w:val="-2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– porównaj 5.2.5.2.</w:t>
      </w:r>
    </w:p>
    <w:p>
      <w:pPr>
        <w:spacing w:after="0" w:line="256" w:lineRule="auto"/>
        <w:jc w:val="left"/>
        <w:rPr>
          <w:sz w:val="17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229" w:after="0"/>
        <w:ind w:left="709" w:right="140" w:firstLine="0"/>
        <w:jc w:val="both"/>
        <w:rPr>
          <w:sz w:val="20"/>
        </w:rPr>
      </w:pPr>
      <w:bookmarkStart w:name="5.2.2 Kubatura brutto budynków lub częśc" w:id="36"/>
      <w:bookmarkEnd w:id="36"/>
      <w:r>
        <w:rPr/>
      </w:r>
      <w:bookmarkStart w:name="5.2.3 Kubatura brutto budynków lub częśc" w:id="37"/>
      <w:bookmarkEnd w:id="37"/>
      <w:r>
        <w:rPr/>
      </w:r>
      <w:bookmarkStart w:name="_bookmark10" w:id="38"/>
      <w:bookmarkEnd w:id="38"/>
      <w:r>
        <w:rPr/>
      </w:r>
      <w:r>
        <w:rPr>
          <w:color w:val="231F20"/>
          <w:spacing w:val="-4"/>
          <w:sz w:val="20"/>
        </w:rPr>
        <w:t>Wnęk i pilastrów wynikających z uwarunkowań konstrukcyjnych lub estetycznych, wyprofilowań i in- </w:t>
      </w:r>
      <w:r>
        <w:rPr>
          <w:color w:val="231F20"/>
          <w:spacing w:val="-6"/>
          <w:sz w:val="20"/>
        </w:rPr>
        <w:t>nych drugorzędnych elementów (np. schodów zewnętrznych, ramp i</w:t>
      </w:r>
      <w:r>
        <w:rPr>
          <w:color w:val="231F20"/>
          <w:sz w:val="20"/>
        </w:rPr>
        <w:t> </w:t>
      </w:r>
      <w:r>
        <w:rPr>
          <w:color w:val="231F20"/>
          <w:spacing w:val="-6"/>
          <w:sz w:val="20"/>
        </w:rPr>
        <w:t>pochylni zewnętrznych, zadaszeń, markiz, </w:t>
      </w:r>
      <w:r>
        <w:rPr>
          <w:color w:val="231F20"/>
          <w:spacing w:val="-8"/>
          <w:sz w:val="20"/>
        </w:rPr>
        <w:t>poziomych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osłon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przeciwsłonecznych,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wysuniętych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części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dachu,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kominów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dachowych,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urządzeń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ulicznych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itp.) </w:t>
      </w:r>
      <w:r>
        <w:rPr>
          <w:color w:val="231F20"/>
          <w:sz w:val="20"/>
        </w:rPr>
        <w:t>nie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uwzględnia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się.</w:t>
      </w:r>
    </w:p>
    <w:p>
      <w:pPr>
        <w:pStyle w:val="BodyText"/>
        <w:spacing w:before="28"/>
      </w:pPr>
    </w:p>
    <w:p>
      <w:pPr>
        <w:pStyle w:val="Heading4"/>
        <w:numPr>
          <w:ilvl w:val="2"/>
          <w:numId w:val="3"/>
        </w:numPr>
        <w:tabs>
          <w:tab w:pos="1327" w:val="left" w:leader="none"/>
          <w:tab w:pos="1332" w:val="left" w:leader="none"/>
        </w:tabs>
        <w:spacing w:line="249" w:lineRule="auto" w:before="0" w:after="0"/>
        <w:ind w:left="1332" w:right="607" w:hanging="624"/>
        <w:jc w:val="left"/>
      </w:pPr>
      <w:r>
        <w:rPr>
          <w:color w:val="231F20"/>
        </w:rPr>
        <w:t>Kubatura</w:t>
      </w:r>
      <w:r>
        <w:rPr>
          <w:color w:val="231F20"/>
          <w:spacing w:val="-3"/>
        </w:rPr>
        <w:t> </w:t>
      </w:r>
      <w:r>
        <w:rPr>
          <w:color w:val="231F20"/>
        </w:rPr>
        <w:t>brutto</w:t>
      </w:r>
      <w:r>
        <w:rPr>
          <w:color w:val="231F20"/>
          <w:spacing w:val="-3"/>
        </w:rPr>
        <w:t> </w:t>
      </w:r>
      <w:r>
        <w:rPr>
          <w:color w:val="231F20"/>
        </w:rPr>
        <w:t>budynków</w:t>
      </w:r>
      <w:r>
        <w:rPr>
          <w:color w:val="231F20"/>
          <w:spacing w:val="-3"/>
        </w:rPr>
        <w:t> </w:t>
      </w:r>
      <w:r>
        <w:rPr>
          <w:color w:val="231F20"/>
        </w:rPr>
        <w:t>lub</w:t>
      </w:r>
      <w:r>
        <w:rPr>
          <w:color w:val="231F20"/>
          <w:spacing w:val="-3"/>
        </w:rPr>
        <w:t> </w:t>
      </w:r>
      <w:r>
        <w:rPr>
          <w:color w:val="231F20"/>
        </w:rPr>
        <w:t>części</w:t>
      </w:r>
      <w:r>
        <w:rPr>
          <w:color w:val="231F20"/>
          <w:spacing w:val="-3"/>
        </w:rPr>
        <w:t> </w:t>
      </w:r>
      <w:r>
        <w:rPr>
          <w:color w:val="231F20"/>
        </w:rPr>
        <w:t>budynków</w:t>
      </w:r>
      <w:r>
        <w:rPr>
          <w:color w:val="231F20"/>
          <w:spacing w:val="-4"/>
        </w:rPr>
        <w:t> </w:t>
      </w:r>
      <w:r>
        <w:rPr>
          <w:color w:val="231F20"/>
        </w:rPr>
        <w:t>zamkniętych</w:t>
      </w:r>
      <w:r>
        <w:rPr>
          <w:color w:val="231F20"/>
          <w:spacing w:val="-3"/>
        </w:rPr>
        <w:t> </w:t>
      </w:r>
      <w:r>
        <w:rPr>
          <w:color w:val="231F20"/>
        </w:rPr>
        <w:t>ze</w:t>
      </w:r>
      <w:r>
        <w:rPr>
          <w:color w:val="231F20"/>
          <w:spacing w:val="-3"/>
        </w:rPr>
        <w:t> </w:t>
      </w:r>
      <w:r>
        <w:rPr>
          <w:color w:val="231F20"/>
        </w:rPr>
        <w:t>wszystkich</w:t>
      </w:r>
      <w:r>
        <w:rPr>
          <w:color w:val="231F20"/>
          <w:spacing w:val="-3"/>
        </w:rPr>
        <w:t> </w:t>
      </w:r>
      <w:r>
        <w:rPr>
          <w:color w:val="231F20"/>
        </w:rPr>
        <w:t>stron</w:t>
      </w:r>
      <w:r>
        <w:rPr>
          <w:color w:val="231F20"/>
          <w:spacing w:val="-3"/>
        </w:rPr>
        <w:t> </w:t>
      </w:r>
      <w:r>
        <w:rPr>
          <w:color w:val="231F20"/>
        </w:rPr>
        <w:t>stałymi przegrodami budowlanymi i przekrytych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0" w:after="0"/>
        <w:ind w:left="709" w:right="140" w:firstLine="0"/>
        <w:jc w:val="both"/>
        <w:rPr>
          <w:sz w:val="20"/>
        </w:rPr>
      </w:pPr>
      <w:r>
        <w:rPr>
          <w:color w:val="231F20"/>
          <w:spacing w:val="-6"/>
          <w:sz w:val="20"/>
        </w:rPr>
        <w:t>Kubatura brutto budynków lub części budynków zamkniętych ze</w:t>
      </w:r>
      <w:r>
        <w:rPr>
          <w:color w:val="231F20"/>
          <w:sz w:val="20"/>
        </w:rPr>
        <w:t> </w:t>
      </w:r>
      <w:r>
        <w:rPr>
          <w:color w:val="231F20"/>
          <w:spacing w:val="-6"/>
          <w:sz w:val="20"/>
        </w:rPr>
        <w:t>wszystkich stron stałymi przegrodami </w:t>
      </w:r>
      <w:r>
        <w:rPr>
          <w:color w:val="231F20"/>
          <w:sz w:val="20"/>
        </w:rPr>
        <w:t>budowlanymi i przekrytych, jeżeli nie jest obliczana zgodnie z 5.2.1.4, jest iloczynem powierzchni całkowitej kondygnacji zgodnie z 5.1.3.1 a) i odpowiedniej wysokości.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40" w:lineRule="auto" w:before="0" w:after="0"/>
        <w:ind w:left="1520" w:right="0" w:hanging="811"/>
        <w:jc w:val="left"/>
        <w:rPr>
          <w:sz w:val="20"/>
        </w:rPr>
      </w:pPr>
      <w:r>
        <w:rPr>
          <w:color w:val="231F20"/>
          <w:w w:val="90"/>
          <w:sz w:val="20"/>
        </w:rPr>
        <w:t>Odpowiednia</w:t>
      </w:r>
      <w:r>
        <w:rPr>
          <w:color w:val="231F20"/>
          <w:spacing w:val="13"/>
          <w:sz w:val="20"/>
        </w:rPr>
        <w:t> </w:t>
      </w:r>
      <w:r>
        <w:rPr>
          <w:color w:val="231F20"/>
          <w:w w:val="90"/>
          <w:sz w:val="20"/>
        </w:rPr>
        <w:t>wysokość</w:t>
      </w:r>
      <w:r>
        <w:rPr>
          <w:color w:val="231F20"/>
          <w:spacing w:val="14"/>
          <w:sz w:val="20"/>
        </w:rPr>
        <w:t> </w:t>
      </w:r>
      <w:r>
        <w:rPr>
          <w:color w:val="231F20"/>
          <w:w w:val="90"/>
          <w:sz w:val="20"/>
        </w:rPr>
        <w:t>jest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-2"/>
          <w:w w:val="90"/>
          <w:sz w:val="20"/>
        </w:rPr>
        <w:t>następująca.</w:t>
      </w:r>
    </w:p>
    <w:p>
      <w:pPr>
        <w:pStyle w:val="ListParagraph"/>
        <w:numPr>
          <w:ilvl w:val="0"/>
          <w:numId w:val="27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Dla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podziemnych:</w:t>
      </w:r>
    </w:p>
    <w:p>
      <w:pPr>
        <w:pStyle w:val="BodyText"/>
        <w:spacing w:line="249" w:lineRule="auto" w:before="181"/>
        <w:ind w:left="1049"/>
      </w:pPr>
      <w:r>
        <w:rPr>
          <w:color w:val="231F20"/>
          <w:w w:val="90"/>
        </w:rPr>
        <w:t>odległość między dolną powierzchnią konstrukcji nośnej podłogi a górną powierzchnią stropu kondygnacji </w:t>
      </w:r>
      <w:r>
        <w:rPr>
          <w:color w:val="231F20"/>
          <w:spacing w:val="-2"/>
        </w:rPr>
        <w:t>powyżej;</w:t>
      </w:r>
    </w:p>
    <w:p>
      <w:pPr>
        <w:tabs>
          <w:tab w:pos="1982" w:val="left" w:leader="none"/>
        </w:tabs>
        <w:spacing w:before="170"/>
        <w:ind w:left="1049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UWAGA</w:t>
      </w:r>
      <w:r>
        <w:rPr>
          <w:color w:val="231F20"/>
          <w:sz w:val="18"/>
        </w:rPr>
        <w:tab/>
      </w:r>
      <w:r>
        <w:rPr>
          <w:color w:val="231F20"/>
          <w:spacing w:val="-6"/>
          <w:sz w:val="18"/>
        </w:rPr>
        <w:t>Fundamenty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oraz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warstwy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podkładowe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pod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konstrukcją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nośną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podłogi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nie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są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wliczane.</w:t>
      </w:r>
    </w:p>
    <w:p>
      <w:pPr>
        <w:pStyle w:val="ListParagraph"/>
        <w:numPr>
          <w:ilvl w:val="0"/>
          <w:numId w:val="27"/>
        </w:numPr>
        <w:tabs>
          <w:tab w:pos="1048" w:val="left" w:leader="none"/>
        </w:tabs>
        <w:spacing w:line="240" w:lineRule="auto" w:before="184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Dla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powtarzalnych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nadziemnych:</w:t>
      </w:r>
    </w:p>
    <w:p>
      <w:pPr>
        <w:pStyle w:val="BodyText"/>
        <w:spacing w:before="180"/>
        <w:ind w:left="1049"/>
      </w:pPr>
      <w:r>
        <w:rPr>
          <w:color w:val="231F20"/>
          <w:spacing w:val="-8"/>
        </w:rPr>
        <w:t>odległość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między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powierzchnią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posadzki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stropu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(powierzchnią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posadzki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kondygnacji</w:t>
      </w:r>
      <w:r>
        <w:rPr>
          <w:color w:val="231F20"/>
          <w:spacing w:val="5"/>
        </w:rPr>
        <w:t> </w:t>
      </w:r>
      <w:r>
        <w:rPr>
          <w:color w:val="231F20"/>
          <w:spacing w:val="-8"/>
        </w:rPr>
        <w:t>poniżej);</w:t>
      </w:r>
    </w:p>
    <w:p>
      <w:pPr>
        <w:pStyle w:val="ListParagraph"/>
        <w:numPr>
          <w:ilvl w:val="0"/>
          <w:numId w:val="27"/>
        </w:numPr>
        <w:tabs>
          <w:tab w:pos="1047" w:val="left" w:leader="none"/>
          <w:tab w:pos="1049" w:val="left" w:leader="none"/>
        </w:tabs>
        <w:spacing w:line="249" w:lineRule="auto" w:before="181" w:after="0"/>
        <w:ind w:left="1049" w:right="139" w:hanging="341"/>
        <w:jc w:val="both"/>
        <w:rPr>
          <w:sz w:val="20"/>
        </w:rPr>
      </w:pPr>
      <w:r>
        <w:rPr>
          <w:color w:val="231F20"/>
          <w:sz w:val="20"/>
        </w:rPr>
        <w:t>Dla kondygnacji, której górny strop jest dachem lub tarasem (np. kondygnacja poniżej stropodachu lub </w:t>
      </w:r>
      <w:r>
        <w:rPr>
          <w:color w:val="231F20"/>
          <w:spacing w:val="-2"/>
          <w:sz w:val="20"/>
        </w:rPr>
        <w:t>poddasza):</w:t>
      </w:r>
    </w:p>
    <w:p>
      <w:pPr>
        <w:pStyle w:val="BodyText"/>
        <w:spacing w:before="171"/>
        <w:ind w:left="1049"/>
      </w:pPr>
      <w:r>
        <w:rPr>
          <w:color w:val="231F20"/>
          <w:w w:val="90"/>
        </w:rPr>
        <w:t>odległość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między</w:t>
      </w:r>
      <w:r>
        <w:rPr>
          <w:color w:val="231F20"/>
          <w:spacing w:val="8"/>
        </w:rPr>
        <w:t> </w:t>
      </w:r>
      <w:r>
        <w:rPr>
          <w:color w:val="231F20"/>
          <w:w w:val="90"/>
        </w:rPr>
        <w:t>powierzchnią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posadzki</w:t>
      </w:r>
      <w:r>
        <w:rPr>
          <w:color w:val="231F20"/>
          <w:spacing w:val="8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powierzchnią</w:t>
      </w:r>
      <w:r>
        <w:rPr>
          <w:color w:val="231F20"/>
          <w:spacing w:val="8"/>
        </w:rPr>
        <w:t> </w:t>
      </w:r>
      <w:r>
        <w:rPr>
          <w:color w:val="231F20"/>
          <w:w w:val="90"/>
        </w:rPr>
        <w:t>dachu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lub</w:t>
      </w:r>
      <w:r>
        <w:rPr>
          <w:color w:val="231F20"/>
          <w:spacing w:val="8"/>
        </w:rPr>
        <w:t> </w:t>
      </w:r>
      <w:r>
        <w:rPr>
          <w:color w:val="231F20"/>
          <w:spacing w:val="-2"/>
          <w:w w:val="90"/>
        </w:rPr>
        <w:t>tarasu;</w:t>
      </w:r>
    </w:p>
    <w:p>
      <w:pPr>
        <w:pStyle w:val="ListParagraph"/>
        <w:numPr>
          <w:ilvl w:val="0"/>
          <w:numId w:val="27"/>
        </w:numPr>
        <w:tabs>
          <w:tab w:pos="1047" w:val="left" w:leader="none"/>
          <w:tab w:pos="1049" w:val="left" w:leader="none"/>
        </w:tabs>
        <w:spacing w:line="249" w:lineRule="auto" w:before="180" w:after="0"/>
        <w:ind w:left="1049" w:right="140" w:hanging="341"/>
        <w:jc w:val="both"/>
        <w:rPr>
          <w:sz w:val="20"/>
        </w:rPr>
      </w:pPr>
      <w:r>
        <w:rPr>
          <w:color w:val="231F20"/>
          <w:sz w:val="20"/>
        </w:rPr>
        <w:t>Dla kondygnacji, której dolny strop stanowi fragment zewnętrznej obudowy budynku (np. kondygnacja </w:t>
      </w:r>
      <w:r>
        <w:rPr>
          <w:color w:val="231F20"/>
          <w:spacing w:val="-2"/>
          <w:sz w:val="20"/>
        </w:rPr>
        <w:t>powyżej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kondygnacji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z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otwartą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przestrzenią):</w:t>
      </w:r>
    </w:p>
    <w:p>
      <w:pPr>
        <w:pStyle w:val="BodyText"/>
        <w:spacing w:before="172"/>
        <w:ind w:left="1049"/>
      </w:pPr>
      <w:r>
        <w:rPr>
          <w:color w:val="231F20"/>
          <w:w w:val="90"/>
        </w:rPr>
        <w:t>odległość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między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zewnętrzną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płaszczyzną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stropu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dolnego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powierzchnią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posadzki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kondygnacji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0"/>
        </w:rPr>
        <w:t>powyżej.</w:t>
      </w:r>
    </w:p>
    <w:p>
      <w:pPr>
        <w:pStyle w:val="BodyText"/>
        <w:spacing w:before="35"/>
      </w:pPr>
    </w:p>
    <w:p>
      <w:pPr>
        <w:pStyle w:val="Heading4"/>
        <w:numPr>
          <w:ilvl w:val="2"/>
          <w:numId w:val="3"/>
        </w:numPr>
        <w:tabs>
          <w:tab w:pos="1327" w:val="left" w:leader="none"/>
          <w:tab w:pos="1332" w:val="left" w:leader="none"/>
        </w:tabs>
        <w:spacing w:line="249" w:lineRule="auto" w:before="0" w:after="0"/>
        <w:ind w:left="1332" w:right="371" w:hanging="624"/>
        <w:jc w:val="left"/>
      </w:pPr>
      <w:r>
        <w:rPr>
          <w:color w:val="231F20"/>
        </w:rPr>
        <w:t>Kubatura</w:t>
      </w:r>
      <w:r>
        <w:rPr>
          <w:color w:val="231F20"/>
          <w:spacing w:val="-3"/>
        </w:rPr>
        <w:t> </w:t>
      </w:r>
      <w:r>
        <w:rPr>
          <w:color w:val="231F20"/>
        </w:rPr>
        <w:t>brutto</w:t>
      </w:r>
      <w:r>
        <w:rPr>
          <w:color w:val="231F20"/>
          <w:spacing w:val="-3"/>
        </w:rPr>
        <w:t> </w:t>
      </w:r>
      <w:r>
        <w:rPr>
          <w:color w:val="231F20"/>
        </w:rPr>
        <w:t>budynków</w:t>
      </w:r>
      <w:r>
        <w:rPr>
          <w:color w:val="231F20"/>
          <w:spacing w:val="-3"/>
        </w:rPr>
        <w:t> </w:t>
      </w:r>
      <w:r>
        <w:rPr>
          <w:color w:val="231F20"/>
        </w:rPr>
        <w:t>lub</w:t>
      </w:r>
      <w:r>
        <w:rPr>
          <w:color w:val="231F20"/>
          <w:spacing w:val="-3"/>
        </w:rPr>
        <w:t> </w:t>
      </w:r>
      <w:r>
        <w:rPr>
          <w:color w:val="231F20"/>
        </w:rPr>
        <w:t>części</w:t>
      </w:r>
      <w:r>
        <w:rPr>
          <w:color w:val="231F20"/>
          <w:spacing w:val="-3"/>
        </w:rPr>
        <w:t> </w:t>
      </w:r>
      <w:r>
        <w:rPr>
          <w:color w:val="231F20"/>
        </w:rPr>
        <w:t>budynków,</w:t>
      </w:r>
      <w:r>
        <w:rPr>
          <w:color w:val="231F20"/>
          <w:spacing w:val="-3"/>
        </w:rPr>
        <w:t> </w:t>
      </w:r>
      <w:r>
        <w:rPr>
          <w:color w:val="231F20"/>
        </w:rPr>
        <w:t>które</w:t>
      </w:r>
      <w:r>
        <w:rPr>
          <w:color w:val="231F20"/>
          <w:spacing w:val="-3"/>
        </w:rPr>
        <w:t> </w:t>
      </w:r>
      <w:r>
        <w:rPr>
          <w:color w:val="231F20"/>
        </w:rPr>
        <w:t>nie</w:t>
      </w:r>
      <w:r>
        <w:rPr>
          <w:color w:val="231F20"/>
          <w:spacing w:val="-3"/>
        </w:rPr>
        <w:t> </w:t>
      </w:r>
      <w:r>
        <w:rPr>
          <w:color w:val="231F20"/>
        </w:rPr>
        <w:t>są</w:t>
      </w:r>
      <w:r>
        <w:rPr>
          <w:color w:val="231F20"/>
          <w:spacing w:val="-3"/>
        </w:rPr>
        <w:t> </w:t>
      </w:r>
      <w:r>
        <w:rPr>
          <w:color w:val="231F20"/>
        </w:rPr>
        <w:t>zamknięte</w:t>
      </w:r>
      <w:r>
        <w:rPr>
          <w:color w:val="231F20"/>
          <w:spacing w:val="-3"/>
        </w:rPr>
        <w:t> </w:t>
      </w:r>
      <w:r>
        <w:rPr>
          <w:color w:val="231F20"/>
        </w:rPr>
        <w:t>ze</w:t>
      </w:r>
      <w:r>
        <w:rPr>
          <w:color w:val="231F20"/>
          <w:spacing w:val="-3"/>
        </w:rPr>
        <w:t> </w:t>
      </w:r>
      <w:r>
        <w:rPr>
          <w:color w:val="231F20"/>
        </w:rPr>
        <w:t>wszystkich</w:t>
      </w:r>
      <w:r>
        <w:rPr>
          <w:color w:val="231F20"/>
          <w:spacing w:val="-3"/>
        </w:rPr>
        <w:t> </w:t>
      </w:r>
      <w:r>
        <w:rPr>
          <w:color w:val="231F20"/>
        </w:rPr>
        <w:t>stron stałymi przegrodami budowlanymi na całej wysokości, lecz są przekryte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0" w:after="0"/>
        <w:ind w:left="709" w:right="140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Kubatura brutto budynków lub części budynków, które nie są zamknięte ze wszystkich stron stałymi </w:t>
      </w:r>
      <w:r>
        <w:rPr>
          <w:color w:val="231F20"/>
          <w:spacing w:val="-2"/>
          <w:sz w:val="20"/>
        </w:rPr>
        <w:t>przegrodami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budowlanymi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całej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wysokości,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lecz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przekryte,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jest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iloczynem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powierzchni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całkowitej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kondy- </w:t>
      </w:r>
      <w:r>
        <w:rPr>
          <w:color w:val="231F20"/>
          <w:sz w:val="20"/>
        </w:rPr>
        <w:t>gnacji zgodnie z 5.1.3.1 b) i odpowiedniej wysokości.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40" w:lineRule="auto" w:before="1" w:after="0"/>
        <w:ind w:left="1520" w:right="0" w:hanging="811"/>
        <w:jc w:val="left"/>
        <w:rPr>
          <w:sz w:val="20"/>
        </w:rPr>
      </w:pPr>
      <w:r>
        <w:rPr>
          <w:color w:val="231F20"/>
          <w:w w:val="90"/>
          <w:sz w:val="20"/>
        </w:rPr>
        <w:t>Odpowiednia</w:t>
      </w:r>
      <w:r>
        <w:rPr>
          <w:color w:val="231F20"/>
          <w:spacing w:val="13"/>
          <w:sz w:val="20"/>
        </w:rPr>
        <w:t> </w:t>
      </w:r>
      <w:r>
        <w:rPr>
          <w:color w:val="231F20"/>
          <w:w w:val="90"/>
          <w:sz w:val="20"/>
        </w:rPr>
        <w:t>wysokość</w:t>
      </w:r>
      <w:r>
        <w:rPr>
          <w:color w:val="231F20"/>
          <w:spacing w:val="14"/>
          <w:sz w:val="20"/>
        </w:rPr>
        <w:t> </w:t>
      </w:r>
      <w:r>
        <w:rPr>
          <w:color w:val="231F20"/>
          <w:w w:val="90"/>
          <w:sz w:val="20"/>
        </w:rPr>
        <w:t>jest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-2"/>
          <w:w w:val="90"/>
          <w:sz w:val="20"/>
        </w:rPr>
        <w:t>następująca.</w:t>
      </w:r>
    </w:p>
    <w:p>
      <w:pPr>
        <w:pStyle w:val="ListParagraph"/>
        <w:numPr>
          <w:ilvl w:val="0"/>
          <w:numId w:val="28"/>
        </w:numPr>
        <w:tabs>
          <w:tab w:pos="1046" w:val="left" w:leader="none"/>
          <w:tab w:pos="1049" w:val="left" w:leader="none"/>
        </w:tabs>
        <w:spacing w:line="249" w:lineRule="auto" w:before="180" w:after="0"/>
        <w:ind w:left="1049" w:right="139" w:hanging="341"/>
        <w:jc w:val="both"/>
        <w:rPr>
          <w:sz w:val="20"/>
        </w:rPr>
      </w:pPr>
      <w:r>
        <w:rPr>
          <w:color w:val="231F20"/>
          <w:w w:val="90"/>
          <w:sz w:val="20"/>
        </w:rPr>
        <w:t>Dla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kondygnacji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położonej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w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całości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lub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w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części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poniżej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poziomu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terenu,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przekrytej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kondygnacją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zamkniętą </w:t>
      </w:r>
      <w:r>
        <w:rPr>
          <w:color w:val="231F20"/>
          <w:sz w:val="20"/>
        </w:rPr>
        <w:t>ze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wszystkich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stron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(np.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otwarty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hol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wejściowy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najniższej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w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budynku):</w:t>
      </w:r>
    </w:p>
    <w:p>
      <w:pPr>
        <w:pStyle w:val="BodyText"/>
        <w:spacing w:line="249" w:lineRule="auto" w:before="171"/>
        <w:ind w:left="1049"/>
      </w:pPr>
      <w:r>
        <w:rPr>
          <w:color w:val="231F20"/>
          <w:w w:val="90"/>
        </w:rPr>
        <w:t>odległość między dolną powierzchnią konstrukcji nośnej podłogi a dolną powierzchnią stropu kondygnacji </w:t>
      </w:r>
      <w:r>
        <w:rPr>
          <w:color w:val="231F20"/>
          <w:spacing w:val="-2"/>
        </w:rPr>
        <w:t>powyżej;</w:t>
      </w:r>
    </w:p>
    <w:p>
      <w:pPr>
        <w:tabs>
          <w:tab w:pos="2132" w:val="left" w:leader="none"/>
        </w:tabs>
        <w:spacing w:before="171"/>
        <w:ind w:left="1049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UWAGA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0"/>
          <w:sz w:val="18"/>
        </w:rPr>
        <w:t>1</w:t>
      </w:r>
      <w:r>
        <w:rPr>
          <w:color w:val="231F20"/>
          <w:sz w:val="18"/>
        </w:rPr>
        <w:tab/>
      </w:r>
      <w:r>
        <w:rPr>
          <w:color w:val="231F20"/>
          <w:spacing w:val="-6"/>
          <w:sz w:val="18"/>
        </w:rPr>
        <w:t>Fundamenty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oraz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warstwy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podkładowe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pod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konstrukcją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nośną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podłogi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nie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są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wliczane.</w:t>
      </w:r>
    </w:p>
    <w:p>
      <w:pPr>
        <w:pStyle w:val="ListParagraph"/>
        <w:numPr>
          <w:ilvl w:val="0"/>
          <w:numId w:val="28"/>
        </w:numPr>
        <w:tabs>
          <w:tab w:pos="1046" w:val="left" w:leader="none"/>
          <w:tab w:pos="1049" w:val="left" w:leader="none"/>
        </w:tabs>
        <w:spacing w:line="249" w:lineRule="auto" w:before="184" w:after="0"/>
        <w:ind w:left="1049" w:right="136" w:hanging="341"/>
        <w:jc w:val="both"/>
        <w:rPr>
          <w:sz w:val="20"/>
        </w:rPr>
      </w:pPr>
      <w:r>
        <w:rPr>
          <w:color w:val="231F20"/>
          <w:spacing w:val="-4"/>
          <w:sz w:val="20"/>
        </w:rPr>
        <w:t>Dla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kondygnacji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między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kondygnacjami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zamkniętymi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ze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wszystkich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stron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stałymi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przegrodami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budowlanymi 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przekrytymi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(np.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otwarty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hol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wejściowy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usytuowany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nad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kondygnacją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znajdującą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się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poniżej):</w:t>
      </w:r>
    </w:p>
    <w:p>
      <w:pPr>
        <w:pStyle w:val="BodyText"/>
        <w:spacing w:before="172"/>
        <w:ind w:left="1049"/>
      </w:pPr>
      <w:r>
        <w:rPr>
          <w:color w:val="231F20"/>
          <w:w w:val="90"/>
        </w:rPr>
        <w:t>odległość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między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powierzchnią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posadzki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dolną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powierzchnią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stropu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kondygnacji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0"/>
        </w:rPr>
        <w:t>powyżej;</w:t>
      </w:r>
    </w:p>
    <w:p>
      <w:pPr>
        <w:pStyle w:val="ListParagraph"/>
        <w:numPr>
          <w:ilvl w:val="0"/>
          <w:numId w:val="28"/>
        </w:numPr>
        <w:tabs>
          <w:tab w:pos="1047" w:val="left" w:leader="none"/>
          <w:tab w:pos="1049" w:val="left" w:leader="none"/>
        </w:tabs>
        <w:spacing w:line="249" w:lineRule="auto" w:before="180" w:after="0"/>
        <w:ind w:left="1049" w:right="139" w:hanging="341"/>
        <w:jc w:val="both"/>
        <w:rPr>
          <w:sz w:val="20"/>
        </w:rPr>
      </w:pPr>
      <w:r>
        <w:rPr>
          <w:color w:val="231F20"/>
          <w:spacing w:val="-4"/>
          <w:sz w:val="20"/>
        </w:rPr>
        <w:t>Dla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kondygnacji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znajdującej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się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pod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kondygnacją,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która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także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nie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jest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zamknięta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ze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wszystkich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stron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sta- </w:t>
      </w:r>
      <w:r>
        <w:rPr>
          <w:color w:val="231F20"/>
          <w:spacing w:val="-2"/>
          <w:sz w:val="20"/>
        </w:rPr>
        <w:t>łymi przegrodami budowlanymi lub dla powierzchni kondygnacji, których przekrycie jest także fragmentem </w:t>
      </w:r>
      <w:r>
        <w:rPr>
          <w:color w:val="231F20"/>
          <w:sz w:val="20"/>
        </w:rPr>
        <w:t>obudowy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budynku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(np.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loggia,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galeria,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otwarta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kondygnacja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wielopiętrowym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garażu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samochodowym, przekryty taras na dachu):</w:t>
      </w:r>
    </w:p>
    <w:p>
      <w:pPr>
        <w:pStyle w:val="BodyText"/>
        <w:spacing w:line="249" w:lineRule="auto" w:before="173"/>
        <w:ind w:left="1049"/>
      </w:pPr>
      <w:r>
        <w:rPr>
          <w:color w:val="231F20"/>
          <w:spacing w:val="-8"/>
        </w:rPr>
        <w:t>odległość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między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powierzchnią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posadzki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górną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powierzchnią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dachu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lub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stropu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stanowiącego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obudowę </w:t>
      </w:r>
      <w:r>
        <w:rPr>
          <w:color w:val="231F20"/>
          <w:spacing w:val="-2"/>
        </w:rPr>
        <w:t>budynku;</w:t>
      </w:r>
    </w:p>
    <w:p>
      <w:pPr>
        <w:pStyle w:val="BodyText"/>
        <w:spacing w:after="0" w:line="249" w:lineRule="auto"/>
        <w:sectPr>
          <w:pgSz w:w="11910" w:h="16840"/>
          <w:pgMar w:header="0" w:footer="512" w:top="1240" w:bottom="700" w:left="708" w:right="708"/>
        </w:sectPr>
      </w:pPr>
    </w:p>
    <w:p>
      <w:pPr>
        <w:pStyle w:val="ListParagraph"/>
        <w:numPr>
          <w:ilvl w:val="0"/>
          <w:numId w:val="28"/>
        </w:numPr>
        <w:tabs>
          <w:tab w:pos="480" w:val="left" w:leader="none"/>
          <w:tab w:pos="482" w:val="left" w:leader="none"/>
        </w:tabs>
        <w:spacing w:line="249" w:lineRule="auto" w:before="229" w:after="0"/>
        <w:ind w:left="482" w:right="707" w:hanging="341"/>
        <w:jc w:val="both"/>
        <w:rPr>
          <w:sz w:val="20"/>
        </w:rPr>
      </w:pPr>
      <w:bookmarkStart w:name="5.2.4 Kubatura brutto budynków lub częśc" w:id="39"/>
      <w:bookmarkEnd w:id="39"/>
      <w:r>
        <w:rPr/>
      </w:r>
      <w:bookmarkStart w:name="5.2.5 Kubatura netto" w:id="40"/>
      <w:bookmarkEnd w:id="40"/>
      <w:r>
        <w:rPr/>
      </w:r>
      <w:bookmarkStart w:name="5.2.6 Kubatura netto wewnętrzna" w:id="41"/>
      <w:bookmarkEnd w:id="41"/>
      <w:r>
        <w:rPr/>
      </w:r>
      <w:bookmarkStart w:name="5.2.7 Kubatura netto użytkowa " w:id="42"/>
      <w:bookmarkEnd w:id="42"/>
      <w:r>
        <w:rPr/>
      </w:r>
      <w:bookmarkStart w:name="_bookmark11" w:id="43"/>
      <w:bookmarkEnd w:id="43"/>
      <w:r>
        <w:rPr/>
      </w:r>
      <w:r>
        <w:rPr>
          <w:color w:val="231F20"/>
          <w:sz w:val="20"/>
        </w:rPr>
        <w:t>Dla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znajdującej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się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pod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kondygnacją,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która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nie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jest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zamknięta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ze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wszystkich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stron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stałymi przegrodami budowlanymi i której strop dolny jest także fragmentem obudowy budynku (np. najniższy korytarz zewnętrzny):</w:t>
      </w:r>
    </w:p>
    <w:p>
      <w:pPr>
        <w:pStyle w:val="BodyText"/>
        <w:spacing w:before="172"/>
        <w:ind w:left="482"/>
      </w:pPr>
      <w:r>
        <w:rPr>
          <w:color w:val="231F20"/>
          <w:w w:val="90"/>
        </w:rPr>
        <w:t>odległość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między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górną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powierzchnią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obudowy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dolnej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górną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powierzchnią</w:t>
      </w:r>
      <w:r>
        <w:rPr>
          <w:color w:val="231F20"/>
          <w:spacing w:val="5"/>
        </w:rPr>
        <w:t> </w:t>
      </w:r>
      <w:r>
        <w:rPr>
          <w:color w:val="231F20"/>
          <w:w w:val="90"/>
        </w:rPr>
        <w:t>elementu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0"/>
        </w:rPr>
        <w:t>przekrywającego;</w:t>
      </w:r>
    </w:p>
    <w:p>
      <w:pPr>
        <w:pStyle w:val="ListParagraph"/>
        <w:numPr>
          <w:ilvl w:val="0"/>
          <w:numId w:val="28"/>
        </w:numPr>
        <w:tabs>
          <w:tab w:pos="479" w:val="left" w:leader="none"/>
          <w:tab w:pos="482" w:val="left" w:leader="none"/>
        </w:tabs>
        <w:spacing w:line="249" w:lineRule="auto" w:before="180" w:after="0"/>
        <w:ind w:left="482" w:right="703" w:hanging="341"/>
        <w:jc w:val="both"/>
        <w:rPr>
          <w:sz w:val="20"/>
        </w:rPr>
      </w:pPr>
      <w:r>
        <w:rPr>
          <w:color w:val="231F20"/>
          <w:sz w:val="20"/>
        </w:rPr>
        <w:t>Dla jednokondygnacyjnych budynków lub części budynków (np. stacje benzynowe, przekryte łączniki, otwarte hole wypoczynkowe):</w:t>
      </w:r>
    </w:p>
    <w:p>
      <w:pPr>
        <w:pStyle w:val="BodyText"/>
        <w:spacing w:before="172"/>
        <w:ind w:left="482"/>
      </w:pPr>
      <w:r>
        <w:rPr>
          <w:color w:val="231F20"/>
          <w:w w:val="90"/>
        </w:rPr>
        <w:t>odległość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między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dolną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powierzchnią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konstrukcji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nośnej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podłogi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w w:val="90"/>
        </w:rPr>
        <w:t>powierzchnią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90"/>
        </w:rPr>
        <w:t>dachu.</w:t>
      </w:r>
    </w:p>
    <w:p>
      <w:pPr>
        <w:tabs>
          <w:tab w:pos="1219" w:val="left" w:leader="none"/>
        </w:tabs>
        <w:spacing w:before="179"/>
        <w:ind w:left="142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UWAGA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0"/>
          <w:sz w:val="18"/>
        </w:rPr>
        <w:t>2</w:t>
      </w:r>
      <w:r>
        <w:rPr>
          <w:color w:val="231F20"/>
          <w:sz w:val="18"/>
        </w:rPr>
        <w:tab/>
      </w:r>
      <w:r>
        <w:rPr>
          <w:color w:val="231F20"/>
          <w:spacing w:val="-6"/>
          <w:sz w:val="18"/>
        </w:rPr>
        <w:t>Fundamenty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oraz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6"/>
          <w:sz w:val="18"/>
        </w:rPr>
        <w:t>warstwy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podkładowe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6"/>
          <w:sz w:val="18"/>
        </w:rPr>
        <w:t>pod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6"/>
          <w:sz w:val="18"/>
        </w:rPr>
        <w:t>konstrukcją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nośną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6"/>
          <w:sz w:val="18"/>
        </w:rPr>
        <w:t>podłogi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6"/>
          <w:sz w:val="18"/>
        </w:rPr>
        <w:t>nie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są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6"/>
          <w:sz w:val="18"/>
        </w:rPr>
        <w:t>wliczane.</w:t>
      </w:r>
    </w:p>
    <w:p>
      <w:pPr>
        <w:pStyle w:val="BodyText"/>
        <w:spacing w:before="62"/>
        <w:rPr>
          <w:sz w:val="18"/>
        </w:rPr>
      </w:pPr>
    </w:p>
    <w:p>
      <w:pPr>
        <w:pStyle w:val="Heading4"/>
        <w:numPr>
          <w:ilvl w:val="2"/>
          <w:numId w:val="3"/>
        </w:numPr>
        <w:tabs>
          <w:tab w:pos="760" w:val="left" w:leader="none"/>
          <w:tab w:pos="765" w:val="left" w:leader="none"/>
        </w:tabs>
        <w:spacing w:line="249" w:lineRule="auto" w:before="0" w:after="0"/>
        <w:ind w:left="765" w:right="1149" w:hanging="624"/>
        <w:jc w:val="left"/>
      </w:pPr>
      <w:r>
        <w:rPr>
          <w:color w:val="231F20"/>
        </w:rPr>
        <w:t>Kubatura</w:t>
      </w:r>
      <w:r>
        <w:rPr>
          <w:color w:val="231F20"/>
          <w:spacing w:val="-4"/>
        </w:rPr>
        <w:t> </w:t>
      </w:r>
      <w:r>
        <w:rPr>
          <w:color w:val="231F20"/>
        </w:rPr>
        <w:t>brutto</w:t>
      </w:r>
      <w:r>
        <w:rPr>
          <w:color w:val="231F20"/>
          <w:spacing w:val="-4"/>
        </w:rPr>
        <w:t> </w:t>
      </w:r>
      <w:r>
        <w:rPr>
          <w:color w:val="231F20"/>
        </w:rPr>
        <w:t>budynków</w:t>
      </w:r>
      <w:r>
        <w:rPr>
          <w:color w:val="231F20"/>
          <w:spacing w:val="-4"/>
        </w:rPr>
        <w:t> </w:t>
      </w:r>
      <w:r>
        <w:rPr>
          <w:color w:val="231F20"/>
        </w:rPr>
        <w:t>lub</w:t>
      </w:r>
      <w:r>
        <w:rPr>
          <w:color w:val="231F20"/>
          <w:spacing w:val="-4"/>
        </w:rPr>
        <w:t> </w:t>
      </w:r>
      <w:r>
        <w:rPr>
          <w:color w:val="231F20"/>
        </w:rPr>
        <w:t>części</w:t>
      </w:r>
      <w:r>
        <w:rPr>
          <w:color w:val="231F20"/>
          <w:spacing w:val="-4"/>
        </w:rPr>
        <w:t> </w:t>
      </w:r>
      <w:r>
        <w:rPr>
          <w:color w:val="231F20"/>
        </w:rPr>
        <w:t>budynków,</w:t>
      </w:r>
      <w:r>
        <w:rPr>
          <w:color w:val="231F20"/>
          <w:spacing w:val="-4"/>
        </w:rPr>
        <w:t> </w:t>
      </w:r>
      <w:r>
        <w:rPr>
          <w:color w:val="231F20"/>
        </w:rPr>
        <w:t>które</w:t>
      </w:r>
      <w:r>
        <w:rPr>
          <w:color w:val="231F20"/>
          <w:spacing w:val="-4"/>
        </w:rPr>
        <w:t> </w:t>
      </w:r>
      <w:r>
        <w:rPr>
          <w:color w:val="231F20"/>
        </w:rPr>
        <w:t>są</w:t>
      </w:r>
      <w:r>
        <w:rPr>
          <w:color w:val="231F20"/>
          <w:spacing w:val="-4"/>
        </w:rPr>
        <w:t> </w:t>
      </w:r>
      <w:r>
        <w:rPr>
          <w:color w:val="231F20"/>
        </w:rPr>
        <w:t>ograniczone</w:t>
      </w:r>
      <w:r>
        <w:rPr>
          <w:color w:val="231F20"/>
          <w:spacing w:val="-4"/>
        </w:rPr>
        <w:t> </w:t>
      </w:r>
      <w:r>
        <w:rPr>
          <w:color w:val="231F20"/>
        </w:rPr>
        <w:t>innymi</w:t>
      </w:r>
      <w:r>
        <w:rPr>
          <w:color w:val="231F20"/>
          <w:spacing w:val="-4"/>
        </w:rPr>
        <w:t> </w:t>
      </w:r>
      <w:r>
        <w:rPr>
          <w:color w:val="231F20"/>
        </w:rPr>
        <w:t>elementami budowlanymi, lecz nie są przekryte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946" w:val="left" w:leader="none"/>
        </w:tabs>
        <w:spacing w:line="249" w:lineRule="auto" w:before="0" w:after="0"/>
        <w:ind w:left="142" w:right="705" w:firstLine="0"/>
        <w:jc w:val="both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brutto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budynków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lub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części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budynków,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które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są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ograniczone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innymi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elementami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budowli </w:t>
      </w:r>
      <w:r>
        <w:rPr>
          <w:color w:val="231F20"/>
          <w:spacing w:val="-4"/>
          <w:sz w:val="20"/>
        </w:rPr>
        <w:t>(np. balustradami, osłonami zabezpieczającymi, poręczami), lecz nie są przekryte, jest iloczynem powierzchni </w:t>
      </w:r>
      <w:r>
        <w:rPr>
          <w:color w:val="231F20"/>
          <w:sz w:val="20"/>
        </w:rPr>
        <w:t>całkowitej kondygnacji zgodnie z 5.1.3.1c ) i odpowiedniej wysokości.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953" w:val="left" w:leader="none"/>
        </w:tabs>
        <w:spacing w:line="240" w:lineRule="auto" w:before="1" w:after="0"/>
        <w:ind w:left="953" w:right="0" w:hanging="811"/>
        <w:jc w:val="left"/>
        <w:rPr>
          <w:sz w:val="20"/>
        </w:rPr>
      </w:pPr>
      <w:r>
        <w:rPr>
          <w:color w:val="231F20"/>
          <w:w w:val="90"/>
          <w:sz w:val="20"/>
        </w:rPr>
        <w:t>Odpowiednia</w:t>
      </w:r>
      <w:r>
        <w:rPr>
          <w:color w:val="231F20"/>
          <w:spacing w:val="13"/>
          <w:sz w:val="20"/>
        </w:rPr>
        <w:t> </w:t>
      </w:r>
      <w:r>
        <w:rPr>
          <w:color w:val="231F20"/>
          <w:w w:val="90"/>
          <w:sz w:val="20"/>
        </w:rPr>
        <w:t>wysokość</w:t>
      </w:r>
      <w:r>
        <w:rPr>
          <w:color w:val="231F20"/>
          <w:spacing w:val="14"/>
          <w:sz w:val="20"/>
        </w:rPr>
        <w:t> </w:t>
      </w:r>
      <w:r>
        <w:rPr>
          <w:color w:val="231F20"/>
          <w:w w:val="90"/>
          <w:sz w:val="20"/>
        </w:rPr>
        <w:t>jest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-2"/>
          <w:w w:val="90"/>
          <w:sz w:val="20"/>
        </w:rPr>
        <w:t>następująca.</w:t>
      </w:r>
    </w:p>
    <w:p>
      <w:pPr>
        <w:pStyle w:val="ListParagraph"/>
        <w:numPr>
          <w:ilvl w:val="0"/>
          <w:numId w:val="29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Dla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tarasem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(np.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taras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dachu):</w:t>
      </w:r>
    </w:p>
    <w:p>
      <w:pPr>
        <w:pStyle w:val="BodyText"/>
        <w:spacing w:before="180"/>
        <w:ind w:left="482"/>
      </w:pPr>
      <w:r>
        <w:rPr>
          <w:color w:val="231F20"/>
          <w:w w:val="90"/>
        </w:rPr>
        <w:t>odległość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między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górną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powierzchnią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tej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kondygnacji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górną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krawędzią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elementów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90"/>
        </w:rPr>
        <w:t>ograniczających;</w:t>
      </w:r>
    </w:p>
    <w:p>
      <w:pPr>
        <w:pStyle w:val="ListParagraph"/>
        <w:numPr>
          <w:ilvl w:val="0"/>
          <w:numId w:val="29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Dla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elementów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wystających:</w:t>
      </w:r>
    </w:p>
    <w:p>
      <w:pPr>
        <w:pStyle w:val="BodyText"/>
        <w:spacing w:before="180"/>
        <w:ind w:left="482"/>
      </w:pPr>
      <w:r>
        <w:rPr>
          <w:color w:val="231F20"/>
          <w:w w:val="85"/>
        </w:rPr>
        <w:t>odległość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między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dolną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powierzchnią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elementu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wystającego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3"/>
        </w:rPr>
        <w:t> </w:t>
      </w:r>
      <w:r>
        <w:rPr>
          <w:color w:val="231F20"/>
          <w:w w:val="85"/>
        </w:rPr>
        <w:t>górną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krawędzią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elementów</w:t>
      </w:r>
      <w:r>
        <w:rPr>
          <w:color w:val="231F20"/>
          <w:spacing w:val="8"/>
        </w:rPr>
        <w:t> </w:t>
      </w:r>
      <w:r>
        <w:rPr>
          <w:color w:val="231F20"/>
          <w:spacing w:val="-2"/>
          <w:w w:val="85"/>
        </w:rPr>
        <w:t>ograniczających.</w:t>
      </w:r>
    </w:p>
    <w:p>
      <w:pPr>
        <w:pStyle w:val="BodyText"/>
        <w:spacing w:before="35"/>
      </w:pPr>
    </w:p>
    <w:p>
      <w:pPr>
        <w:pStyle w:val="Heading4"/>
        <w:numPr>
          <w:ilvl w:val="2"/>
          <w:numId w:val="3"/>
        </w:numPr>
        <w:tabs>
          <w:tab w:pos="761" w:val="left" w:leader="none"/>
        </w:tabs>
        <w:spacing w:line="240" w:lineRule="auto" w:before="0" w:after="0"/>
        <w:ind w:left="761" w:right="0" w:hanging="619"/>
        <w:jc w:val="left"/>
      </w:pPr>
      <w:r>
        <w:rPr>
          <w:color w:val="231F20"/>
        </w:rPr>
        <w:t>Kubatura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netto</w:t>
      </w:r>
    </w:p>
    <w:p>
      <w:pPr>
        <w:tabs>
          <w:tab w:pos="1106" w:val="left" w:leader="none"/>
        </w:tabs>
        <w:spacing w:before="179"/>
        <w:ind w:left="142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UWAGA</w:t>
      </w:r>
      <w:r>
        <w:rPr>
          <w:color w:val="231F20"/>
          <w:sz w:val="18"/>
        </w:rPr>
        <w:tab/>
        <w:t>Patrz Rysunek </w:t>
      </w:r>
      <w:r>
        <w:rPr>
          <w:color w:val="231F20"/>
          <w:spacing w:val="-5"/>
          <w:sz w:val="18"/>
        </w:rPr>
        <w:t>2.</w:t>
      </w:r>
    </w:p>
    <w:p>
      <w:pPr>
        <w:pStyle w:val="BodyText"/>
        <w:spacing w:before="62"/>
        <w:rPr>
          <w:sz w:val="18"/>
        </w:rPr>
      </w:pPr>
    </w:p>
    <w:p>
      <w:pPr>
        <w:pStyle w:val="ListParagraph"/>
        <w:numPr>
          <w:ilvl w:val="3"/>
          <w:numId w:val="3"/>
        </w:numPr>
        <w:tabs>
          <w:tab w:pos="946" w:val="left" w:leader="none"/>
        </w:tabs>
        <w:spacing w:line="249" w:lineRule="auto" w:before="0" w:after="0"/>
        <w:ind w:left="142" w:right="707" w:firstLine="0"/>
        <w:jc w:val="both"/>
        <w:rPr>
          <w:sz w:val="20"/>
        </w:rPr>
      </w:pPr>
      <w:r>
        <w:rPr>
          <w:color w:val="231F20"/>
          <w:sz w:val="20"/>
        </w:rPr>
        <w:t>Kubatura netto jest iloczynem powierzchni kondygnacji netto (patrz 5.1.5) i odległości między po- </w:t>
      </w:r>
      <w:r>
        <w:rPr>
          <w:color w:val="231F20"/>
          <w:spacing w:val="-2"/>
          <w:sz w:val="20"/>
        </w:rPr>
        <w:t>wierzchnią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posadzki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dolną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powierzchnią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stropu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górnego.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953" w:val="left" w:leader="none"/>
        </w:tabs>
        <w:spacing w:line="240" w:lineRule="auto" w:before="0" w:after="0"/>
        <w:ind w:left="953" w:right="0" w:hanging="811"/>
        <w:jc w:val="left"/>
        <w:rPr>
          <w:sz w:val="20"/>
        </w:rPr>
      </w:pPr>
      <w:r>
        <w:rPr>
          <w:color w:val="231F20"/>
          <w:w w:val="90"/>
          <w:sz w:val="20"/>
        </w:rPr>
        <w:t>Rozróżnia</w:t>
      </w:r>
      <w:r>
        <w:rPr>
          <w:color w:val="231F20"/>
          <w:spacing w:val="-1"/>
          <w:sz w:val="20"/>
        </w:rPr>
        <w:t> </w:t>
      </w:r>
      <w:r>
        <w:rPr>
          <w:color w:val="231F20"/>
          <w:w w:val="90"/>
          <w:sz w:val="20"/>
        </w:rPr>
        <w:t>się</w:t>
      </w:r>
      <w:r>
        <w:rPr>
          <w:color w:val="231F20"/>
          <w:sz w:val="20"/>
        </w:rPr>
        <w:t> </w:t>
      </w:r>
      <w:r>
        <w:rPr>
          <w:color w:val="231F20"/>
          <w:w w:val="90"/>
          <w:sz w:val="20"/>
        </w:rPr>
        <w:t>następujące</w:t>
      </w:r>
      <w:r>
        <w:rPr>
          <w:color w:val="231F20"/>
          <w:sz w:val="20"/>
        </w:rPr>
        <w:t> </w:t>
      </w:r>
      <w:r>
        <w:rPr>
          <w:color w:val="231F20"/>
          <w:w w:val="90"/>
          <w:sz w:val="20"/>
        </w:rPr>
        <w:t>rodzaje</w:t>
      </w:r>
      <w:r>
        <w:rPr>
          <w:color w:val="231F20"/>
          <w:spacing w:val="-1"/>
          <w:sz w:val="20"/>
        </w:rPr>
        <w:t> </w:t>
      </w:r>
      <w:r>
        <w:rPr>
          <w:color w:val="231F20"/>
          <w:w w:val="90"/>
          <w:sz w:val="20"/>
        </w:rPr>
        <w:t>kubatury</w:t>
      </w:r>
      <w:r>
        <w:rPr>
          <w:color w:val="231F20"/>
          <w:sz w:val="20"/>
        </w:rPr>
        <w:t> </w:t>
      </w:r>
      <w:r>
        <w:rPr>
          <w:color w:val="231F20"/>
          <w:spacing w:val="-2"/>
          <w:w w:val="90"/>
          <w:sz w:val="20"/>
        </w:rPr>
        <w:t>netto:</w:t>
      </w:r>
    </w:p>
    <w:p>
      <w:pPr>
        <w:pStyle w:val="ListParagraph"/>
        <w:numPr>
          <w:ilvl w:val="0"/>
          <w:numId w:val="30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pełnych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nadziemnych;</w:t>
      </w:r>
    </w:p>
    <w:p>
      <w:pPr>
        <w:pStyle w:val="ListParagraph"/>
        <w:numPr>
          <w:ilvl w:val="0"/>
          <w:numId w:val="30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podziemnych;</w:t>
      </w:r>
    </w:p>
    <w:p>
      <w:pPr>
        <w:pStyle w:val="ListParagraph"/>
        <w:numPr>
          <w:ilvl w:val="0"/>
          <w:numId w:val="30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niepełnych.</w:t>
      </w:r>
    </w:p>
    <w:p>
      <w:pPr>
        <w:pStyle w:val="BodyText"/>
        <w:spacing w:before="35"/>
      </w:pPr>
    </w:p>
    <w:p>
      <w:pPr>
        <w:pStyle w:val="ListParagraph"/>
        <w:numPr>
          <w:ilvl w:val="3"/>
          <w:numId w:val="3"/>
        </w:numPr>
        <w:tabs>
          <w:tab w:pos="953" w:val="left" w:leader="none"/>
        </w:tabs>
        <w:spacing w:line="240" w:lineRule="auto" w:before="1" w:after="0"/>
        <w:ind w:left="953" w:right="0" w:hanging="811"/>
        <w:jc w:val="left"/>
        <w:rPr>
          <w:sz w:val="20"/>
        </w:rPr>
      </w:pPr>
      <w:r>
        <w:rPr>
          <w:color w:val="231F20"/>
          <w:spacing w:val="-2"/>
          <w:sz w:val="20"/>
        </w:rPr>
        <w:t>Kubatura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netto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może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być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dalej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dzielona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zgodnie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z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5.2.1.1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a),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b)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c).</w:t>
      </w:r>
    </w:p>
    <w:p>
      <w:pPr>
        <w:pStyle w:val="BodyText"/>
        <w:spacing w:before="35"/>
      </w:pPr>
    </w:p>
    <w:p>
      <w:pPr>
        <w:pStyle w:val="Heading4"/>
        <w:numPr>
          <w:ilvl w:val="2"/>
          <w:numId w:val="3"/>
        </w:numPr>
        <w:tabs>
          <w:tab w:pos="761" w:val="left" w:leader="none"/>
        </w:tabs>
        <w:spacing w:line="240" w:lineRule="auto" w:before="0" w:after="0"/>
        <w:ind w:left="761" w:right="0" w:hanging="619"/>
        <w:jc w:val="left"/>
      </w:pPr>
      <w:r>
        <w:rPr>
          <w:color w:val="231F20"/>
        </w:rPr>
        <w:t>Kubatura</w:t>
      </w:r>
      <w:r>
        <w:rPr>
          <w:color w:val="231F20"/>
          <w:spacing w:val="-4"/>
        </w:rPr>
        <w:t> </w:t>
      </w:r>
      <w:r>
        <w:rPr>
          <w:color w:val="231F20"/>
        </w:rPr>
        <w:t>netto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wewnętrzna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946" w:val="left" w:leader="none"/>
        </w:tabs>
        <w:spacing w:line="249" w:lineRule="auto" w:before="0" w:after="0"/>
        <w:ind w:left="142" w:right="707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>Kubatura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netto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wewnętrzna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jest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iloczynem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powierzchni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wewnętrznej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kondygnacji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(patrz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5.1.4)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odle- </w:t>
      </w:r>
      <w:r>
        <w:rPr>
          <w:color w:val="231F20"/>
          <w:spacing w:val="-4"/>
          <w:sz w:val="20"/>
        </w:rPr>
        <w:t>głości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między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powierzchnią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posadzki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dolną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powierzchnią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stropu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górnego.</w:t>
      </w:r>
    </w:p>
    <w:p>
      <w:pPr>
        <w:pStyle w:val="BodyText"/>
        <w:spacing w:before="26"/>
      </w:pPr>
    </w:p>
    <w:p>
      <w:pPr>
        <w:pStyle w:val="ListParagraph"/>
        <w:numPr>
          <w:ilvl w:val="3"/>
          <w:numId w:val="3"/>
        </w:numPr>
        <w:tabs>
          <w:tab w:pos="953" w:val="left" w:leader="none"/>
        </w:tabs>
        <w:spacing w:line="240" w:lineRule="auto" w:before="1" w:after="0"/>
        <w:ind w:left="953" w:right="0" w:hanging="811"/>
        <w:jc w:val="left"/>
        <w:rPr>
          <w:sz w:val="20"/>
        </w:rPr>
      </w:pPr>
      <w:r>
        <w:rPr>
          <w:color w:val="231F20"/>
          <w:w w:val="90"/>
          <w:sz w:val="20"/>
        </w:rPr>
        <w:t>Kubaturę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netto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wewnętrzną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określa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się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oddzielnie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dla</w:t>
      </w:r>
      <w:r>
        <w:rPr>
          <w:color w:val="231F20"/>
          <w:spacing w:val="-2"/>
          <w:w w:val="90"/>
          <w:sz w:val="20"/>
        </w:rPr>
        <w:t> </w:t>
      </w:r>
      <w:r>
        <w:rPr>
          <w:color w:val="231F20"/>
          <w:w w:val="90"/>
          <w:sz w:val="20"/>
        </w:rPr>
        <w:t>każdej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kondygnacji.</w:t>
      </w:r>
    </w:p>
    <w:p>
      <w:pPr>
        <w:pStyle w:val="BodyText"/>
        <w:spacing w:before="35"/>
      </w:pPr>
    </w:p>
    <w:p>
      <w:pPr>
        <w:pStyle w:val="Heading4"/>
        <w:numPr>
          <w:ilvl w:val="2"/>
          <w:numId w:val="3"/>
        </w:numPr>
        <w:tabs>
          <w:tab w:pos="761" w:val="left" w:leader="none"/>
        </w:tabs>
        <w:spacing w:line="240" w:lineRule="auto" w:before="0" w:after="0"/>
        <w:ind w:left="761" w:right="0" w:hanging="619"/>
        <w:jc w:val="left"/>
      </w:pPr>
      <w:r>
        <w:rPr>
          <w:color w:val="231F20"/>
        </w:rPr>
        <w:t>Kubatura</w:t>
      </w:r>
      <w:r>
        <w:rPr>
          <w:color w:val="231F20"/>
          <w:spacing w:val="-4"/>
        </w:rPr>
        <w:t> </w:t>
      </w:r>
      <w:r>
        <w:rPr>
          <w:color w:val="231F20"/>
        </w:rPr>
        <w:t>netto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użytkowa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946" w:val="left" w:leader="none"/>
        </w:tabs>
        <w:spacing w:line="249" w:lineRule="auto" w:before="0" w:after="0"/>
        <w:ind w:left="142" w:right="707" w:firstLine="0"/>
        <w:jc w:val="both"/>
        <w:rPr>
          <w:sz w:val="20"/>
        </w:rPr>
      </w:pPr>
      <w:r>
        <w:rPr>
          <w:color w:val="231F20"/>
          <w:spacing w:val="-8"/>
          <w:sz w:val="20"/>
        </w:rPr>
        <w:t>Kubatura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netto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użytkowa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jest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iloczynem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powierzchni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użytkowej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(patrz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5.1.7)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odległości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między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górną </w:t>
      </w:r>
      <w:r>
        <w:rPr>
          <w:color w:val="231F20"/>
          <w:spacing w:val="-2"/>
          <w:sz w:val="20"/>
        </w:rPr>
        <w:t>powierzchnią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posadzki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dolną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powierzchnią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sufitu.</w:t>
      </w:r>
    </w:p>
    <w:p>
      <w:pPr>
        <w:pStyle w:val="BodyText"/>
        <w:spacing w:before="27"/>
      </w:pPr>
    </w:p>
    <w:p>
      <w:pPr>
        <w:pStyle w:val="ListParagraph"/>
        <w:numPr>
          <w:ilvl w:val="3"/>
          <w:numId w:val="3"/>
        </w:numPr>
        <w:tabs>
          <w:tab w:pos="953" w:val="left" w:leader="none"/>
        </w:tabs>
        <w:spacing w:line="240" w:lineRule="auto" w:before="0" w:after="0"/>
        <w:ind w:left="953" w:right="0" w:hanging="811"/>
        <w:jc w:val="left"/>
        <w:rPr>
          <w:sz w:val="20"/>
        </w:rPr>
      </w:pPr>
      <w:r>
        <w:rPr>
          <w:color w:val="231F20"/>
          <w:w w:val="90"/>
          <w:sz w:val="20"/>
        </w:rPr>
        <w:t>Kubaturę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netto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użytkową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określa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się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oddzielnie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dla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każdej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kondygnacji.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Heading4"/>
        <w:numPr>
          <w:ilvl w:val="2"/>
          <w:numId w:val="3"/>
        </w:numPr>
        <w:tabs>
          <w:tab w:pos="1328" w:val="left" w:leader="none"/>
        </w:tabs>
        <w:spacing w:line="240" w:lineRule="auto" w:before="229" w:after="0"/>
        <w:ind w:left="1328" w:right="0" w:hanging="619"/>
        <w:jc w:val="left"/>
      </w:pPr>
      <w:bookmarkStart w:name="5.2.8 Kubatura netto usługowo-techniczna" w:id="44"/>
      <w:bookmarkEnd w:id="44"/>
      <w:r>
        <w:rPr>
          <w:b w:val="0"/>
        </w:rPr>
      </w:r>
      <w:bookmarkStart w:name="5.2.9 Kubatura netto ruchu" w:id="45"/>
      <w:bookmarkEnd w:id="45"/>
      <w:r>
        <w:rPr>
          <w:b w:val="0"/>
        </w:rPr>
      </w:r>
      <w:bookmarkStart w:name="5.3 Przykłady wskaźników" w:id="46"/>
      <w:bookmarkEnd w:id="46"/>
      <w:r>
        <w:rPr>
          <w:b w:val="0"/>
        </w:rPr>
      </w:r>
      <w:bookmarkStart w:name="5.3.1 Wskaźniki powierzchniowe" w:id="47"/>
      <w:bookmarkEnd w:id="47"/>
      <w:r>
        <w:rPr>
          <w:b w:val="0"/>
        </w:rPr>
      </w:r>
      <w:bookmarkStart w:name="_bookmark12" w:id="48"/>
      <w:bookmarkEnd w:id="48"/>
      <w:r>
        <w:rPr>
          <w:b w:val="0"/>
        </w:rPr>
      </w:r>
      <w:r>
        <w:rPr>
          <w:color w:val="231F20"/>
        </w:rPr>
        <w:t>Kubatura</w:t>
      </w:r>
      <w:r>
        <w:rPr>
          <w:color w:val="231F20"/>
          <w:spacing w:val="-6"/>
        </w:rPr>
        <w:t> </w:t>
      </w:r>
      <w:r>
        <w:rPr>
          <w:color w:val="231F20"/>
        </w:rPr>
        <w:t>netto</w:t>
      </w:r>
      <w:r>
        <w:rPr>
          <w:color w:val="231F20"/>
          <w:spacing w:val="-6"/>
        </w:rPr>
        <w:t> </w:t>
      </w:r>
      <w:r>
        <w:rPr>
          <w:color w:val="231F20"/>
        </w:rPr>
        <w:t>usługowo-</w:t>
      </w:r>
      <w:r>
        <w:rPr>
          <w:color w:val="231F20"/>
          <w:spacing w:val="-2"/>
        </w:rPr>
        <w:t>techniczna</w:t>
      </w:r>
    </w:p>
    <w:p>
      <w:pPr>
        <w:pStyle w:val="BodyText"/>
        <w:spacing w:before="34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1" w:after="0"/>
        <w:ind w:left="709" w:right="141" w:firstLine="0"/>
        <w:jc w:val="both"/>
        <w:rPr>
          <w:sz w:val="20"/>
        </w:rPr>
      </w:pPr>
      <w:r>
        <w:rPr>
          <w:color w:val="231F20"/>
          <w:sz w:val="20"/>
        </w:rPr>
        <w:t>Kubatura netto usługowo-techniczna jest iloczynem powierzchni usługowo-technicznej (patrz 5.1.8)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i odpowiedniej wysokości.</w:t>
      </w:r>
    </w:p>
    <w:p>
      <w:pPr>
        <w:pStyle w:val="BodyText"/>
        <w:spacing w:before="26"/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0" w:after="0"/>
        <w:ind w:left="709" w:right="139" w:firstLine="0"/>
        <w:jc w:val="both"/>
        <w:rPr>
          <w:sz w:val="20"/>
        </w:rPr>
      </w:pPr>
      <w:r>
        <w:rPr>
          <w:color w:val="231F20"/>
          <w:w w:val="90"/>
          <w:sz w:val="20"/>
        </w:rPr>
        <w:t>Odpowiednią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wysokością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jest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odległość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między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powierzchnią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posadzki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dolną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powierzchnią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najbliż- </w:t>
      </w:r>
      <w:r>
        <w:rPr>
          <w:color w:val="231F20"/>
          <w:sz w:val="20"/>
        </w:rPr>
        <w:t>szego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stropu,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bez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względu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ich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usytuowanie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budynku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(np.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szyby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przechodzące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przez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kilka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kondygnacji).</w:t>
      </w:r>
    </w:p>
    <w:p>
      <w:pPr>
        <w:pStyle w:val="BodyText"/>
        <w:spacing w:before="27"/>
      </w:pPr>
    </w:p>
    <w:p>
      <w:pPr>
        <w:pStyle w:val="Heading4"/>
        <w:numPr>
          <w:ilvl w:val="2"/>
          <w:numId w:val="3"/>
        </w:numPr>
        <w:tabs>
          <w:tab w:pos="1328" w:val="left" w:leader="none"/>
        </w:tabs>
        <w:spacing w:line="240" w:lineRule="auto" w:before="0" w:after="0"/>
        <w:ind w:left="1328" w:right="0" w:hanging="619"/>
        <w:jc w:val="left"/>
      </w:pPr>
      <w:r>
        <w:rPr>
          <w:color w:val="231F20"/>
        </w:rPr>
        <w:t>Kubatura</w:t>
      </w:r>
      <w:r>
        <w:rPr>
          <w:color w:val="231F20"/>
          <w:spacing w:val="-4"/>
        </w:rPr>
        <w:t> </w:t>
      </w:r>
      <w:r>
        <w:rPr>
          <w:color w:val="231F20"/>
        </w:rPr>
        <w:t>netto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ruchu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40" w:lineRule="auto" w:before="0" w:after="0"/>
        <w:ind w:left="1520" w:right="0" w:hanging="811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ruchu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jest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iloczynem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powierzchni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ruchu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(patrz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5.1.9)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odpowiedniej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wysokości.</w:t>
      </w:r>
    </w:p>
    <w:p>
      <w:pPr>
        <w:pStyle w:val="BodyText"/>
        <w:spacing w:before="35"/>
      </w:pPr>
    </w:p>
    <w:p>
      <w:pPr>
        <w:pStyle w:val="ListParagraph"/>
        <w:numPr>
          <w:ilvl w:val="3"/>
          <w:numId w:val="3"/>
        </w:numPr>
        <w:tabs>
          <w:tab w:pos="1513" w:val="left" w:leader="none"/>
        </w:tabs>
        <w:spacing w:line="249" w:lineRule="auto" w:before="1" w:after="0"/>
        <w:ind w:left="709" w:right="140" w:firstLine="0"/>
        <w:jc w:val="both"/>
        <w:rPr>
          <w:sz w:val="20"/>
        </w:rPr>
      </w:pPr>
      <w:r>
        <w:rPr>
          <w:color w:val="231F20"/>
          <w:spacing w:val="-8"/>
          <w:sz w:val="20"/>
        </w:rPr>
        <w:t>Odpowiednią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wysokością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jest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odległość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między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powierzchnią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posadzki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dolną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powierzchnią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naj- </w:t>
      </w:r>
      <w:r>
        <w:rPr>
          <w:color w:val="231F20"/>
          <w:sz w:val="20"/>
        </w:rPr>
        <w:t>bliższego stropu, bez względu na jego usytuowanie w budynku (np. klatki schodowe w budynkach wielo- kondygnacyjnych, szyby dźwigowe).</w:t>
      </w:r>
    </w:p>
    <w:p>
      <w:pPr>
        <w:pStyle w:val="BodyText"/>
        <w:spacing w:before="113"/>
      </w:pPr>
    </w:p>
    <w:p>
      <w:pPr>
        <w:pStyle w:val="Heading3"/>
        <w:numPr>
          <w:ilvl w:val="1"/>
          <w:numId w:val="3"/>
        </w:numPr>
        <w:tabs>
          <w:tab w:pos="1219" w:val="left" w:leader="none"/>
        </w:tabs>
        <w:spacing w:line="240" w:lineRule="auto" w:before="0" w:after="0"/>
        <w:ind w:left="1219" w:right="0" w:hanging="510"/>
        <w:jc w:val="left"/>
        <w:rPr>
          <w:color w:val="231F20"/>
        </w:rPr>
      </w:pPr>
      <w:r>
        <w:rPr>
          <w:color w:val="231F20"/>
        </w:rPr>
        <w:t>Przykłady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wskaźników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Heading4"/>
        <w:numPr>
          <w:ilvl w:val="2"/>
          <w:numId w:val="3"/>
        </w:numPr>
        <w:tabs>
          <w:tab w:pos="1328" w:val="left" w:leader="none"/>
        </w:tabs>
        <w:spacing w:line="240" w:lineRule="auto" w:before="0" w:after="0"/>
        <w:ind w:left="1328" w:right="0" w:hanging="619"/>
        <w:jc w:val="left"/>
      </w:pPr>
      <w:r>
        <w:rPr>
          <w:color w:val="231F20"/>
        </w:rPr>
        <w:t>Wskaźniki </w:t>
      </w:r>
      <w:r>
        <w:rPr>
          <w:color w:val="231F20"/>
          <w:spacing w:val="-2"/>
        </w:rPr>
        <w:t>powierzchniowe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03" w:val="left" w:leader="none"/>
        </w:tabs>
        <w:spacing w:line="249" w:lineRule="auto" w:before="1" w:after="0"/>
        <w:ind w:left="709" w:right="138" w:firstLine="0"/>
        <w:jc w:val="both"/>
        <w:rPr>
          <w:sz w:val="20"/>
        </w:rPr>
      </w:pPr>
      <w:r>
        <w:rPr>
          <w:color w:val="231F20"/>
          <w:spacing w:val="-8"/>
          <w:sz w:val="20"/>
        </w:rPr>
        <w:t>Wyniki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pomiarów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powierzchni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mogą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być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wykorzystywane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jako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wskaźniki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przy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porównywaniu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budynków. </w:t>
      </w:r>
      <w:r>
        <w:rPr>
          <w:color w:val="231F20"/>
          <w:spacing w:val="-2"/>
          <w:sz w:val="20"/>
        </w:rPr>
        <w:t>Wyniki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te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są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niezbędne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przy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obliczaniu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wskaźników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techniczno-ekonomicznych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w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przeliczeniu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jednostkę </w:t>
      </w:r>
      <w:r>
        <w:rPr>
          <w:color w:val="231F20"/>
          <w:sz w:val="20"/>
        </w:rPr>
        <w:t>powierzchni.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Przykładami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takich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wskaźników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są:</w:t>
      </w:r>
    </w:p>
    <w:p>
      <w:pPr>
        <w:pStyle w:val="ListParagraph"/>
        <w:numPr>
          <w:ilvl w:val="0"/>
          <w:numId w:val="31"/>
        </w:numPr>
        <w:tabs>
          <w:tab w:pos="1048" w:val="left" w:leader="none"/>
        </w:tabs>
        <w:spacing w:line="240" w:lineRule="auto" w:before="172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zabudowy;</w:t>
      </w:r>
    </w:p>
    <w:p>
      <w:pPr>
        <w:pStyle w:val="ListParagraph"/>
        <w:numPr>
          <w:ilvl w:val="0"/>
          <w:numId w:val="31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całkowita;</w:t>
      </w:r>
    </w:p>
    <w:p>
      <w:pPr>
        <w:pStyle w:val="ListParagraph"/>
        <w:numPr>
          <w:ilvl w:val="0"/>
          <w:numId w:val="31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wewnętrzna;</w:t>
      </w:r>
    </w:p>
    <w:p>
      <w:pPr>
        <w:pStyle w:val="ListParagraph"/>
        <w:numPr>
          <w:ilvl w:val="0"/>
          <w:numId w:val="31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netto;</w:t>
      </w:r>
    </w:p>
    <w:p>
      <w:pPr>
        <w:pStyle w:val="ListParagraph"/>
        <w:numPr>
          <w:ilvl w:val="0"/>
          <w:numId w:val="31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konstrukcji;</w:t>
      </w:r>
    </w:p>
    <w:p>
      <w:pPr>
        <w:pStyle w:val="ListParagraph"/>
        <w:numPr>
          <w:ilvl w:val="0"/>
          <w:numId w:val="31"/>
        </w:numPr>
        <w:tabs>
          <w:tab w:pos="1049" w:val="left" w:leader="none"/>
        </w:tabs>
        <w:spacing w:line="240" w:lineRule="auto" w:before="181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użytkowa:</w:t>
      </w:r>
    </w:p>
    <w:p>
      <w:pPr>
        <w:pStyle w:val="ListParagraph"/>
        <w:numPr>
          <w:ilvl w:val="1"/>
          <w:numId w:val="31"/>
        </w:numPr>
        <w:tabs>
          <w:tab w:pos="1388" w:val="left" w:leader="none"/>
        </w:tabs>
        <w:spacing w:line="240" w:lineRule="auto" w:before="180" w:after="0"/>
        <w:ind w:left="1388" w:right="0" w:hanging="339"/>
        <w:jc w:val="left"/>
        <w:rPr>
          <w:sz w:val="20"/>
        </w:rPr>
      </w:pPr>
      <w:r>
        <w:rPr>
          <w:color w:val="231F20"/>
          <w:spacing w:val="-6"/>
          <w:sz w:val="20"/>
        </w:rPr>
        <w:t>powierzchnia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użytkowa</w:t>
      </w:r>
      <w:r>
        <w:rPr>
          <w:color w:val="231F20"/>
          <w:sz w:val="20"/>
        </w:rPr>
        <w:t> </w:t>
      </w:r>
      <w:r>
        <w:rPr>
          <w:color w:val="231F20"/>
          <w:spacing w:val="-6"/>
          <w:sz w:val="20"/>
        </w:rPr>
        <w:t>podstawowa;</w:t>
      </w:r>
    </w:p>
    <w:p>
      <w:pPr>
        <w:pStyle w:val="ListParagraph"/>
        <w:numPr>
          <w:ilvl w:val="1"/>
          <w:numId w:val="31"/>
        </w:numPr>
        <w:tabs>
          <w:tab w:pos="1388" w:val="left" w:leader="none"/>
        </w:tabs>
        <w:spacing w:line="240" w:lineRule="auto" w:before="180" w:after="0"/>
        <w:ind w:left="1388" w:right="0" w:hanging="339"/>
        <w:jc w:val="left"/>
        <w:rPr>
          <w:sz w:val="20"/>
        </w:rPr>
      </w:pPr>
      <w:r>
        <w:rPr>
          <w:color w:val="231F20"/>
          <w:spacing w:val="-6"/>
          <w:sz w:val="20"/>
        </w:rPr>
        <w:t>powierzchnia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użytkowa</w:t>
      </w:r>
      <w:r>
        <w:rPr>
          <w:color w:val="231F20"/>
          <w:sz w:val="20"/>
        </w:rPr>
        <w:t> </w:t>
      </w:r>
      <w:r>
        <w:rPr>
          <w:color w:val="231F20"/>
          <w:spacing w:val="-6"/>
          <w:sz w:val="20"/>
        </w:rPr>
        <w:t>pomocnicza;</w:t>
      </w:r>
    </w:p>
    <w:p>
      <w:pPr>
        <w:pStyle w:val="ListParagraph"/>
        <w:numPr>
          <w:ilvl w:val="0"/>
          <w:numId w:val="31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usługowo-</w:t>
      </w:r>
      <w:r>
        <w:rPr>
          <w:color w:val="231F20"/>
          <w:spacing w:val="-2"/>
          <w:sz w:val="20"/>
        </w:rPr>
        <w:t>techniczna;</w:t>
      </w:r>
    </w:p>
    <w:p>
      <w:pPr>
        <w:pStyle w:val="ListParagraph"/>
        <w:numPr>
          <w:ilvl w:val="0"/>
          <w:numId w:val="31"/>
        </w:numPr>
        <w:tabs>
          <w:tab w:pos="1048" w:val="left" w:leader="none"/>
        </w:tabs>
        <w:spacing w:line="240" w:lineRule="auto" w:before="180" w:after="0"/>
        <w:ind w:left="1048" w:right="0" w:hanging="339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ruchu;</w:t>
      </w:r>
    </w:p>
    <w:p>
      <w:pPr>
        <w:pStyle w:val="ListParagraph"/>
        <w:numPr>
          <w:ilvl w:val="0"/>
          <w:numId w:val="31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pacing w:val="-6"/>
          <w:sz w:val="20"/>
        </w:rPr>
        <w:t>powierzchnia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nieużyteczna ze względów funkcjonalnych;</w:t>
      </w:r>
    </w:p>
    <w:p>
      <w:pPr>
        <w:pStyle w:val="ListParagraph"/>
        <w:numPr>
          <w:ilvl w:val="0"/>
          <w:numId w:val="31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obudowy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budynku:</w:t>
      </w:r>
    </w:p>
    <w:p>
      <w:pPr>
        <w:pStyle w:val="ListParagraph"/>
        <w:numPr>
          <w:ilvl w:val="1"/>
          <w:numId w:val="31"/>
        </w:numPr>
        <w:tabs>
          <w:tab w:pos="1388" w:val="left" w:leader="none"/>
        </w:tabs>
        <w:spacing w:line="240" w:lineRule="auto" w:before="180" w:after="0"/>
        <w:ind w:left="1388" w:right="0" w:hanging="339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posadowienia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budynku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(powierzchnia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fundamentów);</w:t>
      </w:r>
    </w:p>
    <w:p>
      <w:pPr>
        <w:pStyle w:val="ListParagraph"/>
        <w:numPr>
          <w:ilvl w:val="1"/>
          <w:numId w:val="31"/>
        </w:numPr>
        <w:tabs>
          <w:tab w:pos="1388" w:val="left" w:leader="none"/>
        </w:tabs>
        <w:spacing w:line="240" w:lineRule="auto" w:before="180" w:after="0"/>
        <w:ind w:left="1388" w:right="0" w:hanging="339"/>
        <w:jc w:val="left"/>
        <w:rPr>
          <w:sz w:val="20"/>
        </w:rPr>
      </w:pPr>
      <w:r>
        <w:rPr>
          <w:color w:val="231F20"/>
          <w:w w:val="90"/>
          <w:sz w:val="20"/>
        </w:rPr>
        <w:t>powierzchnia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90"/>
          <w:sz w:val="20"/>
        </w:rPr>
        <w:t>ścian</w:t>
      </w:r>
      <w:r>
        <w:rPr>
          <w:color w:val="231F20"/>
          <w:spacing w:val="24"/>
          <w:sz w:val="20"/>
        </w:rPr>
        <w:t> </w:t>
      </w:r>
      <w:r>
        <w:rPr>
          <w:color w:val="231F20"/>
          <w:w w:val="90"/>
          <w:sz w:val="20"/>
        </w:rPr>
        <w:t>zewnętrznych</w:t>
      </w:r>
      <w:r>
        <w:rPr>
          <w:color w:val="231F20"/>
          <w:spacing w:val="24"/>
          <w:sz w:val="20"/>
        </w:rPr>
        <w:t> </w:t>
      </w:r>
      <w:r>
        <w:rPr>
          <w:color w:val="231F20"/>
          <w:w w:val="90"/>
          <w:sz w:val="20"/>
        </w:rPr>
        <w:t>poniżej</w:t>
      </w:r>
      <w:r>
        <w:rPr>
          <w:color w:val="231F20"/>
          <w:spacing w:val="24"/>
          <w:sz w:val="20"/>
        </w:rPr>
        <w:t> </w:t>
      </w:r>
      <w:r>
        <w:rPr>
          <w:color w:val="231F20"/>
          <w:w w:val="90"/>
          <w:sz w:val="20"/>
        </w:rPr>
        <w:t>poziomu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-2"/>
          <w:w w:val="90"/>
          <w:sz w:val="20"/>
        </w:rPr>
        <w:t>terenu;</w:t>
      </w:r>
    </w:p>
    <w:p>
      <w:pPr>
        <w:pStyle w:val="ListParagraph"/>
        <w:numPr>
          <w:ilvl w:val="1"/>
          <w:numId w:val="31"/>
        </w:numPr>
        <w:tabs>
          <w:tab w:pos="1388" w:val="left" w:leader="none"/>
        </w:tabs>
        <w:spacing w:line="240" w:lineRule="auto" w:before="180" w:after="0"/>
        <w:ind w:left="1388" w:right="0" w:hanging="339"/>
        <w:jc w:val="left"/>
        <w:rPr>
          <w:sz w:val="20"/>
        </w:rPr>
      </w:pPr>
      <w:r>
        <w:rPr>
          <w:color w:val="231F20"/>
          <w:w w:val="90"/>
          <w:sz w:val="20"/>
        </w:rPr>
        <w:t>powierzchnia</w:t>
      </w:r>
      <w:r>
        <w:rPr>
          <w:color w:val="231F20"/>
          <w:spacing w:val="24"/>
          <w:sz w:val="20"/>
        </w:rPr>
        <w:t> </w:t>
      </w:r>
      <w:r>
        <w:rPr>
          <w:color w:val="231F20"/>
          <w:w w:val="90"/>
          <w:sz w:val="20"/>
        </w:rPr>
        <w:t>ścian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90"/>
          <w:sz w:val="20"/>
        </w:rPr>
        <w:t>zewnętrznych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90"/>
          <w:sz w:val="20"/>
        </w:rPr>
        <w:t>powyżej</w:t>
      </w:r>
      <w:r>
        <w:rPr>
          <w:color w:val="231F20"/>
          <w:spacing w:val="24"/>
          <w:sz w:val="20"/>
        </w:rPr>
        <w:t> </w:t>
      </w:r>
      <w:r>
        <w:rPr>
          <w:color w:val="231F20"/>
          <w:w w:val="90"/>
          <w:sz w:val="20"/>
        </w:rPr>
        <w:t>poziomu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-2"/>
          <w:w w:val="90"/>
          <w:sz w:val="20"/>
        </w:rPr>
        <w:t>terenu:</w:t>
      </w:r>
    </w:p>
    <w:p>
      <w:pPr>
        <w:pStyle w:val="ListParagraph"/>
        <w:numPr>
          <w:ilvl w:val="2"/>
          <w:numId w:val="31"/>
        </w:numPr>
        <w:tabs>
          <w:tab w:pos="1729" w:val="left" w:leader="none"/>
        </w:tabs>
        <w:spacing w:line="240" w:lineRule="auto" w:before="181" w:after="0"/>
        <w:ind w:left="1729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powierzchnie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przeszklone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ścian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zewnętrznych;</w:t>
      </w:r>
    </w:p>
    <w:p>
      <w:pPr>
        <w:pStyle w:val="ListParagraph"/>
        <w:numPr>
          <w:ilvl w:val="2"/>
          <w:numId w:val="31"/>
        </w:numPr>
        <w:tabs>
          <w:tab w:pos="1729" w:val="left" w:leader="none"/>
        </w:tabs>
        <w:spacing w:line="240" w:lineRule="auto" w:before="180" w:after="0"/>
        <w:ind w:left="1729" w:right="0" w:hanging="340"/>
        <w:jc w:val="left"/>
        <w:rPr>
          <w:sz w:val="20"/>
        </w:rPr>
      </w:pPr>
      <w:r>
        <w:rPr>
          <w:color w:val="231F20"/>
          <w:spacing w:val="-6"/>
          <w:sz w:val="20"/>
        </w:rPr>
        <w:t>powierzchnie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6"/>
          <w:sz w:val="20"/>
        </w:rPr>
        <w:t>pełne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6"/>
          <w:sz w:val="20"/>
        </w:rPr>
        <w:t>ścian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6"/>
          <w:sz w:val="20"/>
        </w:rPr>
        <w:t>zewnętrznych;</w:t>
      </w:r>
    </w:p>
    <w:p>
      <w:pPr>
        <w:pStyle w:val="ListParagraph"/>
        <w:numPr>
          <w:ilvl w:val="1"/>
          <w:numId w:val="31"/>
        </w:numPr>
        <w:tabs>
          <w:tab w:pos="1388" w:val="left" w:leader="none"/>
        </w:tabs>
        <w:spacing w:line="240" w:lineRule="auto" w:before="180" w:after="0"/>
        <w:ind w:left="1388" w:right="0" w:hanging="339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dachu:</w:t>
      </w:r>
    </w:p>
    <w:p>
      <w:pPr>
        <w:pStyle w:val="ListParagraph"/>
        <w:numPr>
          <w:ilvl w:val="2"/>
          <w:numId w:val="31"/>
        </w:numPr>
        <w:tabs>
          <w:tab w:pos="1729" w:val="left" w:leader="none"/>
        </w:tabs>
        <w:spacing w:line="240" w:lineRule="auto" w:before="180" w:after="0"/>
        <w:ind w:left="1729" w:right="0" w:hanging="340"/>
        <w:jc w:val="left"/>
        <w:rPr>
          <w:sz w:val="20"/>
        </w:rPr>
      </w:pPr>
      <w:r>
        <w:rPr>
          <w:color w:val="231F20"/>
          <w:sz w:val="20"/>
        </w:rPr>
        <w:t>powierzchnie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przeszklone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dachu;</w:t>
      </w:r>
    </w:p>
    <w:p>
      <w:pPr>
        <w:pStyle w:val="ListParagraph"/>
        <w:numPr>
          <w:ilvl w:val="2"/>
          <w:numId w:val="31"/>
        </w:numPr>
        <w:tabs>
          <w:tab w:pos="1729" w:val="left" w:leader="none"/>
        </w:tabs>
        <w:spacing w:line="240" w:lineRule="auto" w:before="180" w:after="0"/>
        <w:ind w:left="1729" w:right="0" w:hanging="340"/>
        <w:jc w:val="left"/>
        <w:rPr>
          <w:sz w:val="20"/>
        </w:rPr>
      </w:pPr>
      <w:r>
        <w:rPr>
          <w:color w:val="231F20"/>
          <w:sz w:val="20"/>
        </w:rPr>
        <w:t>powierzchnie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pełne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dachu.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Heading4"/>
        <w:numPr>
          <w:ilvl w:val="3"/>
          <w:numId w:val="3"/>
        </w:numPr>
        <w:tabs>
          <w:tab w:pos="953" w:val="left" w:leader="none"/>
        </w:tabs>
        <w:spacing w:line="240" w:lineRule="auto" w:before="229" w:after="0"/>
        <w:ind w:left="953" w:right="0" w:hanging="811"/>
        <w:jc w:val="left"/>
      </w:pPr>
      <w:bookmarkStart w:name="5.3.2 Wskaźniki kubaturowe " w:id="49"/>
      <w:bookmarkEnd w:id="49"/>
      <w:r>
        <w:rPr>
          <w:b w:val="0"/>
        </w:rPr>
      </w:r>
      <w:bookmarkStart w:name="_bookmark13" w:id="50"/>
      <w:bookmarkEnd w:id="50"/>
      <w:r>
        <w:rPr>
          <w:b w:val="0"/>
        </w:rPr>
      </w:r>
      <w:r>
        <w:rPr>
          <w:color w:val="231F20"/>
        </w:rPr>
        <w:t>Wskaźniki </w:t>
      </w:r>
      <w:r>
        <w:rPr>
          <w:color w:val="231F20"/>
          <w:spacing w:val="-2"/>
        </w:rPr>
        <w:t>powierzchnia/powierzchnia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2"/>
          <w:sz w:val="20"/>
        </w:rPr>
        <w:t>Powierzchnia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-2"/>
          <w:sz w:val="20"/>
        </w:rPr>
        <w:t>całkowita/powierzchnia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-2"/>
          <w:sz w:val="20"/>
        </w:rPr>
        <w:t>użytkowa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Powierzchnia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-4"/>
          <w:sz w:val="20"/>
        </w:rPr>
        <w:t>użytkowa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-4"/>
          <w:sz w:val="20"/>
        </w:rPr>
        <w:t>podstawowa/powierzchnia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-4"/>
          <w:sz w:val="20"/>
        </w:rPr>
        <w:t>użytkowa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Powierzchnia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4"/>
          <w:sz w:val="20"/>
        </w:rPr>
        <w:t>wewnętrzna/powierzchnia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4"/>
          <w:sz w:val="20"/>
        </w:rPr>
        <w:t>użytkowa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2"/>
          <w:sz w:val="20"/>
        </w:rPr>
        <w:t>Powierzchnia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-2"/>
          <w:sz w:val="20"/>
        </w:rPr>
        <w:t>całkowita/powierzchnia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-2"/>
          <w:sz w:val="20"/>
        </w:rPr>
        <w:t>netto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2"/>
          <w:sz w:val="20"/>
        </w:rPr>
        <w:t>Powierzchnia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-2"/>
          <w:sz w:val="20"/>
        </w:rPr>
        <w:t>ruchu/powierzchnia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-2"/>
          <w:sz w:val="20"/>
        </w:rPr>
        <w:t>użytkowa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Powierzchnia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4"/>
          <w:sz w:val="20"/>
        </w:rPr>
        <w:t>nieużyteczna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budynku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ze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względów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funkcjonalnych/powierzchnia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netto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Powierzchnia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4"/>
          <w:sz w:val="20"/>
        </w:rPr>
        <w:t>nieużyteczna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budynku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ze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względów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funkcjonalnych/powierzchnia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użytkowa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obudowy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budynku/powierzchnia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użytkowa</w:t>
      </w:r>
    </w:p>
    <w:p>
      <w:pPr>
        <w:pStyle w:val="BodyText"/>
        <w:spacing w:before="35"/>
      </w:pPr>
    </w:p>
    <w:p>
      <w:pPr>
        <w:pStyle w:val="Heading4"/>
        <w:numPr>
          <w:ilvl w:val="2"/>
          <w:numId w:val="3"/>
        </w:numPr>
        <w:tabs>
          <w:tab w:pos="761" w:val="left" w:leader="none"/>
        </w:tabs>
        <w:spacing w:line="240" w:lineRule="auto" w:before="0" w:after="0"/>
        <w:ind w:left="761" w:right="0" w:hanging="619"/>
        <w:jc w:val="left"/>
      </w:pPr>
      <w:r>
        <w:rPr>
          <w:color w:val="231F20"/>
        </w:rPr>
        <w:t>Wskaźniki </w:t>
      </w:r>
      <w:r>
        <w:rPr>
          <w:color w:val="231F20"/>
          <w:spacing w:val="-2"/>
        </w:rPr>
        <w:t>kubaturowe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946" w:val="left" w:leader="none"/>
        </w:tabs>
        <w:spacing w:line="249" w:lineRule="auto" w:before="1" w:after="0"/>
        <w:ind w:left="142" w:right="707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>Wyniki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pomiarów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kubatur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mogą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być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wykorzystywane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jako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wskaźniki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przy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porównywaniu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budynków. Wyniki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te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są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niezbędne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przy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obliczaniu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wskaźników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techniczno-ekonomicznych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w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przeliczeniu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jednostkę </w:t>
      </w:r>
      <w:r>
        <w:rPr>
          <w:color w:val="231F20"/>
          <w:sz w:val="20"/>
        </w:rPr>
        <w:t>kubatury.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Przykładami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takich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wskaźników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są:</w:t>
      </w:r>
    </w:p>
    <w:p>
      <w:pPr>
        <w:pStyle w:val="ListParagraph"/>
        <w:numPr>
          <w:ilvl w:val="0"/>
          <w:numId w:val="32"/>
        </w:numPr>
        <w:tabs>
          <w:tab w:pos="481" w:val="left" w:leader="none"/>
        </w:tabs>
        <w:spacing w:line="240" w:lineRule="auto" w:before="172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brutto:</w:t>
      </w:r>
    </w:p>
    <w:p>
      <w:pPr>
        <w:pStyle w:val="ListParagraph"/>
        <w:numPr>
          <w:ilvl w:val="1"/>
          <w:numId w:val="32"/>
        </w:numPr>
        <w:tabs>
          <w:tab w:pos="821" w:val="left" w:leader="none"/>
        </w:tabs>
        <w:spacing w:line="240" w:lineRule="auto" w:before="180" w:after="0"/>
        <w:ind w:left="821" w:right="0" w:hanging="339"/>
        <w:jc w:val="left"/>
        <w:rPr>
          <w:sz w:val="20"/>
        </w:rPr>
      </w:pPr>
      <w:r>
        <w:rPr>
          <w:color w:val="231F20"/>
          <w:sz w:val="20"/>
        </w:rPr>
        <w:t>zgodnie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5.2.2;</w:t>
      </w:r>
    </w:p>
    <w:p>
      <w:pPr>
        <w:pStyle w:val="ListParagraph"/>
        <w:numPr>
          <w:ilvl w:val="1"/>
          <w:numId w:val="32"/>
        </w:numPr>
        <w:tabs>
          <w:tab w:pos="821" w:val="left" w:leader="none"/>
        </w:tabs>
        <w:spacing w:line="240" w:lineRule="auto" w:before="180" w:after="0"/>
        <w:ind w:left="821" w:right="0" w:hanging="339"/>
        <w:jc w:val="left"/>
        <w:rPr>
          <w:sz w:val="20"/>
        </w:rPr>
      </w:pPr>
      <w:r>
        <w:rPr>
          <w:color w:val="231F20"/>
          <w:sz w:val="20"/>
        </w:rPr>
        <w:t>zgodnie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5.2.3;</w:t>
      </w:r>
    </w:p>
    <w:p>
      <w:pPr>
        <w:pStyle w:val="ListParagraph"/>
        <w:numPr>
          <w:ilvl w:val="1"/>
          <w:numId w:val="32"/>
        </w:numPr>
        <w:tabs>
          <w:tab w:pos="821" w:val="left" w:leader="none"/>
        </w:tabs>
        <w:spacing w:line="240" w:lineRule="auto" w:before="180" w:after="0"/>
        <w:ind w:left="821" w:right="0" w:hanging="339"/>
        <w:jc w:val="left"/>
        <w:rPr>
          <w:sz w:val="20"/>
        </w:rPr>
      </w:pPr>
      <w:r>
        <w:rPr>
          <w:color w:val="231F20"/>
          <w:sz w:val="20"/>
        </w:rPr>
        <w:t>zgodnie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z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5.2.4;</w:t>
      </w:r>
    </w:p>
    <w:p>
      <w:pPr>
        <w:pStyle w:val="ListParagraph"/>
        <w:numPr>
          <w:ilvl w:val="0"/>
          <w:numId w:val="32"/>
        </w:numPr>
        <w:tabs>
          <w:tab w:pos="481" w:val="left" w:leader="none"/>
        </w:tabs>
        <w:spacing w:line="240" w:lineRule="auto" w:before="181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netto:</w:t>
      </w:r>
    </w:p>
    <w:p>
      <w:pPr>
        <w:pStyle w:val="ListParagraph"/>
        <w:numPr>
          <w:ilvl w:val="1"/>
          <w:numId w:val="32"/>
        </w:numPr>
        <w:tabs>
          <w:tab w:pos="821" w:val="left" w:leader="none"/>
        </w:tabs>
        <w:spacing w:line="240" w:lineRule="auto" w:before="180" w:after="0"/>
        <w:ind w:left="82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pełnych</w:t>
      </w:r>
      <w:r>
        <w:rPr>
          <w:color w:val="231F20"/>
          <w:spacing w:val="-2"/>
          <w:sz w:val="20"/>
          <w:vertAlign w:val="superscript"/>
        </w:rPr>
        <w:t>N5)</w:t>
      </w:r>
      <w:r>
        <w:rPr>
          <w:color w:val="231F20"/>
          <w:spacing w:val="-2"/>
          <w:sz w:val="20"/>
          <w:vertAlign w:val="baseline"/>
        </w:rPr>
        <w:t>;</w:t>
      </w:r>
    </w:p>
    <w:p>
      <w:pPr>
        <w:pStyle w:val="ListParagraph"/>
        <w:numPr>
          <w:ilvl w:val="1"/>
          <w:numId w:val="32"/>
        </w:numPr>
        <w:tabs>
          <w:tab w:pos="821" w:val="left" w:leader="none"/>
        </w:tabs>
        <w:spacing w:line="240" w:lineRule="auto" w:before="180" w:after="0"/>
        <w:ind w:left="82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podziemnych;</w:t>
      </w:r>
    </w:p>
    <w:p>
      <w:pPr>
        <w:pStyle w:val="ListParagraph"/>
        <w:numPr>
          <w:ilvl w:val="1"/>
          <w:numId w:val="32"/>
        </w:numPr>
        <w:tabs>
          <w:tab w:pos="821" w:val="left" w:leader="none"/>
        </w:tabs>
        <w:spacing w:line="240" w:lineRule="auto" w:before="180" w:after="0"/>
        <w:ind w:left="82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niepełnych;</w:t>
      </w:r>
    </w:p>
    <w:p>
      <w:pPr>
        <w:pStyle w:val="ListParagraph"/>
        <w:numPr>
          <w:ilvl w:val="0"/>
          <w:numId w:val="32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wewnętrzna;</w:t>
      </w:r>
    </w:p>
    <w:p>
      <w:pPr>
        <w:pStyle w:val="ListParagraph"/>
        <w:numPr>
          <w:ilvl w:val="0"/>
          <w:numId w:val="32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użytkowa;</w:t>
      </w:r>
    </w:p>
    <w:p>
      <w:pPr>
        <w:pStyle w:val="ListParagraph"/>
        <w:numPr>
          <w:ilvl w:val="0"/>
          <w:numId w:val="32"/>
        </w:numPr>
        <w:tabs>
          <w:tab w:pos="481" w:val="left" w:leader="none"/>
        </w:tabs>
        <w:spacing w:line="240" w:lineRule="auto" w:before="180" w:after="0"/>
        <w:ind w:left="481" w:right="0" w:hanging="339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usługowo-</w:t>
      </w:r>
      <w:r>
        <w:rPr>
          <w:color w:val="231F20"/>
          <w:spacing w:val="-2"/>
          <w:sz w:val="20"/>
        </w:rPr>
        <w:t>techniczna;</w:t>
      </w:r>
    </w:p>
    <w:p>
      <w:pPr>
        <w:pStyle w:val="ListParagraph"/>
        <w:numPr>
          <w:ilvl w:val="0"/>
          <w:numId w:val="32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ruchu.</w:t>
      </w:r>
    </w:p>
    <w:p>
      <w:pPr>
        <w:pStyle w:val="BodyText"/>
        <w:spacing w:before="35"/>
      </w:pPr>
    </w:p>
    <w:p>
      <w:pPr>
        <w:pStyle w:val="ListParagraph"/>
        <w:numPr>
          <w:ilvl w:val="3"/>
          <w:numId w:val="3"/>
        </w:numPr>
        <w:tabs>
          <w:tab w:pos="953" w:val="left" w:leader="none"/>
        </w:tabs>
        <w:spacing w:line="240" w:lineRule="auto" w:before="0" w:after="0"/>
        <w:ind w:left="953" w:right="0" w:hanging="811"/>
        <w:jc w:val="left"/>
        <w:rPr>
          <w:sz w:val="20"/>
        </w:rPr>
      </w:pPr>
      <w:r>
        <w:rPr>
          <w:color w:val="231F20"/>
          <w:w w:val="90"/>
          <w:sz w:val="20"/>
        </w:rPr>
        <w:t>Wskaźniki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sz w:val="20"/>
        </w:rPr>
        <w:t>kubatura/kubatura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brutto/kubatura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netto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1" w:after="0"/>
        <w:ind w:left="482" w:right="0" w:hanging="340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pełnych</w:t>
      </w:r>
      <w:r>
        <w:rPr>
          <w:color w:val="231F20"/>
          <w:sz w:val="20"/>
          <w:vertAlign w:val="superscript"/>
        </w:rPr>
        <w:t>N6)</w:t>
      </w:r>
      <w:r>
        <w:rPr>
          <w:color w:val="231F20"/>
          <w:sz w:val="20"/>
          <w:vertAlign w:val="baseline"/>
        </w:rPr>
        <w:t>/kubatura</w:t>
      </w:r>
      <w:r>
        <w:rPr>
          <w:color w:val="231F20"/>
          <w:spacing w:val="-7"/>
          <w:sz w:val="20"/>
          <w:vertAlign w:val="baseline"/>
        </w:rPr>
        <w:t> </w:t>
      </w:r>
      <w:r>
        <w:rPr>
          <w:color w:val="231F20"/>
          <w:spacing w:val="-2"/>
          <w:sz w:val="20"/>
          <w:vertAlign w:val="baseline"/>
        </w:rPr>
        <w:t>netto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kondygnacji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podziemnych/kubatura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netto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Kubatura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4"/>
          <w:sz w:val="20"/>
        </w:rPr>
        <w:t>netto</w:t>
      </w:r>
      <w:r>
        <w:rPr>
          <w:color w:val="231F20"/>
          <w:sz w:val="20"/>
        </w:rPr>
        <w:t> </w:t>
      </w:r>
      <w:r>
        <w:rPr>
          <w:color w:val="231F20"/>
          <w:spacing w:val="-4"/>
          <w:sz w:val="20"/>
        </w:rPr>
        <w:t>wewnętrzna/kubatura</w:t>
      </w:r>
      <w:r>
        <w:rPr>
          <w:color w:val="231F20"/>
          <w:sz w:val="20"/>
        </w:rPr>
        <w:t> </w:t>
      </w:r>
      <w:r>
        <w:rPr>
          <w:color w:val="231F20"/>
          <w:spacing w:val="-4"/>
          <w:sz w:val="20"/>
        </w:rPr>
        <w:t>brutto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Kubatura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4"/>
          <w:sz w:val="20"/>
        </w:rPr>
        <w:t>netto</w:t>
      </w:r>
      <w:r>
        <w:rPr>
          <w:color w:val="231F20"/>
          <w:sz w:val="20"/>
        </w:rPr>
        <w:t> </w:t>
      </w:r>
      <w:r>
        <w:rPr>
          <w:color w:val="231F20"/>
          <w:spacing w:val="-4"/>
          <w:sz w:val="20"/>
        </w:rPr>
        <w:t>wewnętrzna/kubatura</w:t>
      </w:r>
      <w:r>
        <w:rPr>
          <w:color w:val="231F20"/>
          <w:sz w:val="20"/>
        </w:rPr>
        <w:t> </w:t>
      </w:r>
      <w:r>
        <w:rPr>
          <w:color w:val="231F20"/>
          <w:spacing w:val="-4"/>
          <w:sz w:val="20"/>
        </w:rPr>
        <w:t>netto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Kubatura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netto użytkowa/kubatura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brutto</w:t>
      </w:r>
    </w:p>
    <w:p>
      <w:pPr>
        <w:pStyle w:val="ListParagraph"/>
        <w:numPr>
          <w:ilvl w:val="4"/>
          <w:numId w:val="3"/>
        </w:numPr>
        <w:tabs>
          <w:tab w:pos="482" w:val="left" w:leader="none"/>
        </w:tabs>
        <w:spacing w:line="240" w:lineRule="auto" w:before="180" w:after="0"/>
        <w:ind w:left="482" w:right="0" w:hanging="340"/>
        <w:jc w:val="left"/>
        <w:rPr>
          <w:sz w:val="20"/>
        </w:rPr>
      </w:pPr>
      <w:r>
        <w:rPr>
          <w:color w:val="231F20"/>
          <w:spacing w:val="-4"/>
          <w:sz w:val="20"/>
        </w:rPr>
        <w:t>Kubatura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netto użytkowa/kubatura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netto</w:t>
      </w:r>
    </w:p>
    <w:p>
      <w:pPr>
        <w:pStyle w:val="BodyText"/>
        <w:spacing w:before="3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539771</wp:posOffset>
                </wp:positionH>
                <wp:positionV relativeFrom="paragraph">
                  <wp:posOffset>119487</wp:posOffset>
                </wp:positionV>
                <wp:extent cx="1080135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 h="0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01701pt;margin-top:9.408447pt;width:85.05pt;height:.1pt;mso-position-horizontal-relative:page;mso-position-vertical-relative:paragraph;z-index:-15717888;mso-wrap-distance-left:0;mso-wrap-distance-right:0" id="docshape21" coordorigin="850,188" coordsize="1701,0" path="m850,188l2551,18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67"/>
        <w:ind w:left="142" w:right="702" w:firstLine="0"/>
        <w:jc w:val="left"/>
        <w:rPr>
          <w:sz w:val="17"/>
        </w:rPr>
      </w:pPr>
      <w:r>
        <w:rPr>
          <w:color w:val="231F20"/>
          <w:sz w:val="17"/>
          <w:vertAlign w:val="superscript"/>
        </w:rPr>
        <w:t>N5)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Odsyłacz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krajowy: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Błąd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w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oryginale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ISO,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zamiast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„kondygnacji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pełnych”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powinno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być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„pełnych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kondygnacji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nadziemnych”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– porównaj 5.2.5.2.</w:t>
      </w:r>
    </w:p>
    <w:p>
      <w:pPr>
        <w:spacing w:line="256" w:lineRule="auto" w:before="30"/>
        <w:ind w:left="142" w:right="702" w:firstLine="0"/>
        <w:jc w:val="left"/>
        <w:rPr>
          <w:sz w:val="17"/>
        </w:rPr>
      </w:pPr>
      <w:r>
        <w:rPr>
          <w:color w:val="231F20"/>
          <w:sz w:val="17"/>
          <w:vertAlign w:val="superscript"/>
        </w:rPr>
        <w:t>N6)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Odsyłacz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krajowy: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Błąd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w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oryginale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ISO,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zamiast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„kondygnacji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pełnych”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powinno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być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„pełnych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kondygnacji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nadziemnych”</w:t>
      </w:r>
      <w:r>
        <w:rPr>
          <w:color w:val="231F20"/>
          <w:spacing w:val="-3"/>
          <w:sz w:val="17"/>
          <w:vertAlign w:val="baseline"/>
        </w:rPr>
        <w:t> </w:t>
      </w:r>
      <w:r>
        <w:rPr>
          <w:color w:val="231F20"/>
          <w:sz w:val="17"/>
          <w:vertAlign w:val="baseline"/>
        </w:rPr>
        <w:t>– porównaj 5.2.5.2.</w:t>
      </w:r>
    </w:p>
    <w:p>
      <w:pPr>
        <w:spacing w:after="0" w:line="256" w:lineRule="auto"/>
        <w:jc w:val="left"/>
        <w:rPr>
          <w:sz w:val="17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Heading4"/>
        <w:numPr>
          <w:ilvl w:val="2"/>
          <w:numId w:val="3"/>
        </w:numPr>
        <w:tabs>
          <w:tab w:pos="1328" w:val="left" w:leader="none"/>
        </w:tabs>
        <w:spacing w:line="240" w:lineRule="auto" w:before="229" w:after="0"/>
        <w:ind w:left="1328" w:right="0" w:hanging="619"/>
        <w:jc w:val="left"/>
      </w:pPr>
      <w:bookmarkStart w:name="5.3.3 Wskaźniki powierzchniowo-kubaturow" w:id="51"/>
      <w:bookmarkEnd w:id="51"/>
      <w:r>
        <w:rPr>
          <w:b w:val="0"/>
        </w:rPr>
      </w:r>
      <w:bookmarkStart w:name="5.4 Komentarz " w:id="52"/>
      <w:bookmarkEnd w:id="52"/>
      <w:r>
        <w:rPr>
          <w:b w:val="0"/>
        </w:rPr>
      </w:r>
      <w:bookmarkStart w:name="_bookmark14" w:id="53"/>
      <w:bookmarkEnd w:id="53"/>
      <w:r>
        <w:rPr>
          <w:b w:val="0"/>
        </w:rPr>
      </w:r>
      <w:r>
        <w:rPr>
          <w:color w:val="231F20"/>
        </w:rPr>
        <w:t>Wskaźniki</w:t>
      </w:r>
      <w:r>
        <w:rPr>
          <w:color w:val="231F20"/>
          <w:spacing w:val="-9"/>
        </w:rPr>
        <w:t> </w:t>
      </w:r>
      <w:r>
        <w:rPr>
          <w:color w:val="231F20"/>
        </w:rPr>
        <w:t>powierzchniowo-</w:t>
      </w:r>
      <w:r>
        <w:rPr>
          <w:color w:val="231F20"/>
          <w:spacing w:val="-2"/>
        </w:rPr>
        <w:t>kubaturowe</w:t>
      </w:r>
    </w:p>
    <w:p>
      <w:pPr>
        <w:pStyle w:val="BodyText"/>
        <w:spacing w:before="34"/>
        <w:rPr>
          <w:rFonts w:ascii="Arial"/>
          <w:b/>
        </w:rPr>
      </w:pP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40" w:lineRule="auto" w:before="1" w:after="0"/>
        <w:ind w:left="1520" w:right="0" w:hanging="811"/>
        <w:jc w:val="left"/>
        <w:rPr>
          <w:sz w:val="20"/>
        </w:rPr>
      </w:pPr>
      <w:r>
        <w:rPr>
          <w:color w:val="231F20"/>
          <w:spacing w:val="-2"/>
          <w:sz w:val="20"/>
        </w:rPr>
        <w:t>Szczegółowe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informacje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dotyczące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wyników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pomiarów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obliczeń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podano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w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5.3.1.1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5.3.2.1.</w:t>
      </w:r>
    </w:p>
    <w:p>
      <w:pPr>
        <w:pStyle w:val="BodyText"/>
        <w:spacing w:before="35"/>
      </w:pP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40" w:lineRule="auto" w:before="0" w:after="0"/>
        <w:ind w:left="1520" w:right="0" w:hanging="811"/>
        <w:jc w:val="left"/>
        <w:rPr>
          <w:sz w:val="20"/>
        </w:rPr>
      </w:pPr>
      <w:r>
        <w:rPr>
          <w:color w:val="231F20"/>
          <w:w w:val="90"/>
          <w:sz w:val="20"/>
        </w:rPr>
        <w:t>Poniżej</w:t>
      </w:r>
      <w:r>
        <w:rPr>
          <w:color w:val="231F20"/>
          <w:spacing w:val="31"/>
          <w:sz w:val="20"/>
        </w:rPr>
        <w:t> </w:t>
      </w:r>
      <w:r>
        <w:rPr>
          <w:color w:val="231F20"/>
          <w:w w:val="90"/>
          <w:sz w:val="20"/>
        </w:rPr>
        <w:t>podano</w:t>
      </w:r>
      <w:r>
        <w:rPr>
          <w:color w:val="231F20"/>
          <w:spacing w:val="32"/>
          <w:sz w:val="20"/>
        </w:rPr>
        <w:t> </w:t>
      </w:r>
      <w:r>
        <w:rPr>
          <w:color w:val="231F20"/>
          <w:w w:val="90"/>
          <w:sz w:val="20"/>
        </w:rPr>
        <w:t>typowe</w:t>
      </w:r>
      <w:r>
        <w:rPr>
          <w:color w:val="231F20"/>
          <w:spacing w:val="32"/>
          <w:sz w:val="20"/>
        </w:rPr>
        <w:t> </w:t>
      </w:r>
      <w:r>
        <w:rPr>
          <w:color w:val="231F20"/>
          <w:w w:val="90"/>
          <w:sz w:val="20"/>
        </w:rPr>
        <w:t>wskaźniki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-2"/>
          <w:w w:val="90"/>
          <w:sz w:val="20"/>
        </w:rPr>
        <w:t>kubatura/powierzchnia:</w:t>
      </w:r>
    </w:p>
    <w:p>
      <w:pPr>
        <w:pStyle w:val="ListParagraph"/>
        <w:numPr>
          <w:ilvl w:val="4"/>
          <w:numId w:val="3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brutto/powierzchnia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całkowita;</w:t>
      </w:r>
    </w:p>
    <w:p>
      <w:pPr>
        <w:pStyle w:val="ListParagraph"/>
        <w:numPr>
          <w:ilvl w:val="4"/>
          <w:numId w:val="3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brutto/powierzchnia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netto;</w:t>
      </w:r>
    </w:p>
    <w:p>
      <w:pPr>
        <w:pStyle w:val="ListParagraph"/>
        <w:numPr>
          <w:ilvl w:val="4"/>
          <w:numId w:val="3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kubatura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netto/powierzchnia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całkowita.</w:t>
      </w:r>
    </w:p>
    <w:p>
      <w:pPr>
        <w:pStyle w:val="BodyText"/>
        <w:spacing w:before="35"/>
      </w:pPr>
    </w:p>
    <w:p>
      <w:pPr>
        <w:pStyle w:val="ListParagraph"/>
        <w:numPr>
          <w:ilvl w:val="3"/>
          <w:numId w:val="3"/>
        </w:numPr>
        <w:tabs>
          <w:tab w:pos="1520" w:val="left" w:leader="none"/>
        </w:tabs>
        <w:spacing w:line="240" w:lineRule="auto" w:before="0" w:after="0"/>
        <w:ind w:left="1520" w:right="0" w:hanging="811"/>
        <w:jc w:val="left"/>
        <w:rPr>
          <w:sz w:val="20"/>
        </w:rPr>
      </w:pPr>
      <w:r>
        <w:rPr>
          <w:color w:val="231F20"/>
          <w:w w:val="90"/>
          <w:sz w:val="20"/>
        </w:rPr>
        <w:t>Poniżej</w:t>
      </w:r>
      <w:r>
        <w:rPr>
          <w:color w:val="231F20"/>
          <w:spacing w:val="31"/>
          <w:sz w:val="20"/>
        </w:rPr>
        <w:t> </w:t>
      </w:r>
      <w:r>
        <w:rPr>
          <w:color w:val="231F20"/>
          <w:w w:val="90"/>
          <w:sz w:val="20"/>
        </w:rPr>
        <w:t>podano</w:t>
      </w:r>
      <w:r>
        <w:rPr>
          <w:color w:val="231F20"/>
          <w:spacing w:val="32"/>
          <w:sz w:val="20"/>
        </w:rPr>
        <w:t> </w:t>
      </w:r>
      <w:r>
        <w:rPr>
          <w:color w:val="231F20"/>
          <w:w w:val="90"/>
          <w:sz w:val="20"/>
        </w:rPr>
        <w:t>typowe</w:t>
      </w:r>
      <w:r>
        <w:rPr>
          <w:color w:val="231F20"/>
          <w:spacing w:val="32"/>
          <w:sz w:val="20"/>
        </w:rPr>
        <w:t> </w:t>
      </w:r>
      <w:r>
        <w:rPr>
          <w:color w:val="231F20"/>
          <w:w w:val="90"/>
          <w:sz w:val="20"/>
        </w:rPr>
        <w:t>wskaźniki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-2"/>
          <w:w w:val="90"/>
          <w:sz w:val="20"/>
        </w:rPr>
        <w:t>powierzchnia/kubatura:</w:t>
      </w:r>
    </w:p>
    <w:p>
      <w:pPr>
        <w:pStyle w:val="ListParagraph"/>
        <w:numPr>
          <w:ilvl w:val="4"/>
          <w:numId w:val="3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obudowy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budynku/kubatura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brutto;</w:t>
      </w:r>
    </w:p>
    <w:p>
      <w:pPr>
        <w:pStyle w:val="ListParagraph"/>
        <w:numPr>
          <w:ilvl w:val="4"/>
          <w:numId w:val="3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powierzchnia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obudowy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budynku/kubatura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netto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użytkowa.</w:t>
      </w:r>
    </w:p>
    <w:p>
      <w:pPr>
        <w:pStyle w:val="BodyText"/>
        <w:spacing w:before="122"/>
      </w:pPr>
    </w:p>
    <w:p>
      <w:pPr>
        <w:pStyle w:val="Heading3"/>
        <w:numPr>
          <w:ilvl w:val="1"/>
          <w:numId w:val="3"/>
        </w:numPr>
        <w:tabs>
          <w:tab w:pos="1219" w:val="left" w:leader="none"/>
        </w:tabs>
        <w:spacing w:line="240" w:lineRule="auto" w:before="0" w:after="0"/>
        <w:ind w:left="1219" w:right="0" w:hanging="510"/>
        <w:jc w:val="left"/>
        <w:rPr>
          <w:color w:val="231F20"/>
        </w:rPr>
      </w:pPr>
      <w:r>
        <w:rPr>
          <w:color w:val="231F20"/>
          <w:spacing w:val="-2"/>
        </w:rPr>
        <w:t>Komentarz</w:t>
      </w: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ind w:left="709"/>
      </w:pPr>
      <w:r>
        <w:rPr>
          <w:color w:val="231F20"/>
          <w:w w:val="90"/>
        </w:rPr>
        <w:t>Spis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wskaźników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może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być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uzupełniany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w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miarę</w:t>
      </w:r>
      <w:r>
        <w:rPr>
          <w:color w:val="231F20"/>
          <w:spacing w:val="2"/>
        </w:rPr>
        <w:t> </w:t>
      </w:r>
      <w:r>
        <w:rPr>
          <w:color w:val="231F20"/>
          <w:spacing w:val="-2"/>
          <w:w w:val="90"/>
        </w:rPr>
        <w:t>potrzeb.</w:t>
      </w:r>
    </w:p>
    <w:p>
      <w:pPr>
        <w:pStyle w:val="BodyText"/>
        <w:spacing w:before="35"/>
      </w:pPr>
    </w:p>
    <w:p>
      <w:pPr>
        <w:pStyle w:val="BodyText"/>
        <w:spacing w:line="249" w:lineRule="auto"/>
        <w:ind w:left="709" w:right="144"/>
      </w:pPr>
      <w:r>
        <w:rPr>
          <w:color w:val="231F20"/>
        </w:rPr>
        <w:t>Wymienione</w:t>
      </w:r>
      <w:r>
        <w:rPr>
          <w:color w:val="231F20"/>
          <w:spacing w:val="36"/>
        </w:rPr>
        <w:t> </w:t>
      </w:r>
      <w:r>
        <w:rPr>
          <w:color w:val="231F20"/>
        </w:rPr>
        <w:t>wskaźniki</w:t>
      </w:r>
      <w:r>
        <w:rPr>
          <w:color w:val="231F20"/>
          <w:spacing w:val="36"/>
        </w:rPr>
        <w:t> </w:t>
      </w:r>
      <w:r>
        <w:rPr>
          <w:color w:val="231F20"/>
        </w:rPr>
        <w:t>powierzchniowe</w:t>
      </w:r>
      <w:r>
        <w:rPr>
          <w:color w:val="231F20"/>
          <w:spacing w:val="36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</w:rPr>
        <w:t>kubaturowe</w:t>
      </w:r>
      <w:r>
        <w:rPr>
          <w:color w:val="231F20"/>
          <w:spacing w:val="36"/>
        </w:rPr>
        <w:t> </w:t>
      </w:r>
      <w:r>
        <w:rPr>
          <w:color w:val="231F20"/>
        </w:rPr>
        <w:t>mogą</w:t>
      </w:r>
      <w:r>
        <w:rPr>
          <w:color w:val="231F20"/>
          <w:spacing w:val="36"/>
        </w:rPr>
        <w:t> </w:t>
      </w:r>
      <w:r>
        <w:rPr>
          <w:color w:val="231F20"/>
        </w:rPr>
        <w:t>być</w:t>
      </w:r>
      <w:r>
        <w:rPr>
          <w:color w:val="231F20"/>
          <w:spacing w:val="36"/>
        </w:rPr>
        <w:t> </w:t>
      </w:r>
      <w:r>
        <w:rPr>
          <w:color w:val="231F20"/>
        </w:rPr>
        <w:t>dalej</w:t>
      </w:r>
      <w:r>
        <w:rPr>
          <w:color w:val="231F20"/>
          <w:spacing w:val="36"/>
        </w:rPr>
        <w:t> </w:t>
      </w:r>
      <w:r>
        <w:rPr>
          <w:color w:val="231F20"/>
        </w:rPr>
        <w:t>uszczegóławiane,</w:t>
      </w:r>
      <w:r>
        <w:rPr>
          <w:color w:val="231F20"/>
          <w:spacing w:val="36"/>
        </w:rPr>
        <w:t> </w:t>
      </w:r>
      <w:r>
        <w:rPr>
          <w:color w:val="231F20"/>
        </w:rPr>
        <w:t>jak</w:t>
      </w:r>
      <w:r>
        <w:rPr>
          <w:color w:val="231F20"/>
          <w:spacing w:val="36"/>
        </w:rPr>
        <w:t> </w:t>
      </w:r>
      <w:r>
        <w:rPr>
          <w:color w:val="231F20"/>
        </w:rPr>
        <w:t>pokazano </w:t>
      </w:r>
      <w:r>
        <w:rPr>
          <w:color w:val="231F20"/>
          <w:spacing w:val="-4"/>
        </w:rPr>
        <w:t>w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ISO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19208:2016,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Tablica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B.2;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można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również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uwzględniać:</w:t>
      </w:r>
    </w:p>
    <w:p>
      <w:pPr>
        <w:pStyle w:val="ListParagraph"/>
        <w:numPr>
          <w:ilvl w:val="0"/>
          <w:numId w:val="33"/>
        </w:numPr>
        <w:tabs>
          <w:tab w:pos="1049" w:val="left" w:leader="none"/>
        </w:tabs>
        <w:spacing w:line="240" w:lineRule="auto" w:before="172" w:after="0"/>
        <w:ind w:left="1049" w:right="0" w:hanging="340"/>
        <w:jc w:val="left"/>
        <w:rPr>
          <w:sz w:val="20"/>
        </w:rPr>
      </w:pPr>
      <w:r>
        <w:rPr>
          <w:color w:val="231F20"/>
          <w:spacing w:val="-2"/>
          <w:sz w:val="20"/>
        </w:rPr>
        <w:t>rodzaje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pomiarów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i/lub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obliczeń,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zgodnie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z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5.2.1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5.2.2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oraz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następnymi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punktami;</w:t>
      </w:r>
    </w:p>
    <w:p>
      <w:pPr>
        <w:pStyle w:val="ListParagraph"/>
        <w:numPr>
          <w:ilvl w:val="0"/>
          <w:numId w:val="33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sposoby </w:t>
      </w:r>
      <w:r>
        <w:rPr>
          <w:color w:val="231F20"/>
          <w:spacing w:val="-2"/>
          <w:sz w:val="20"/>
        </w:rPr>
        <w:t>użytkowania;</w:t>
      </w:r>
    </w:p>
    <w:p>
      <w:pPr>
        <w:pStyle w:val="ListParagraph"/>
        <w:numPr>
          <w:ilvl w:val="0"/>
          <w:numId w:val="33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rodzaje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konstrukcji;</w:t>
      </w:r>
    </w:p>
    <w:p>
      <w:pPr>
        <w:pStyle w:val="ListParagraph"/>
        <w:numPr>
          <w:ilvl w:val="0"/>
          <w:numId w:val="33"/>
        </w:numPr>
        <w:tabs>
          <w:tab w:pos="1049" w:val="left" w:leader="none"/>
        </w:tabs>
        <w:spacing w:line="240" w:lineRule="auto" w:before="180" w:after="0"/>
        <w:ind w:left="1049" w:right="0" w:hanging="340"/>
        <w:jc w:val="left"/>
        <w:rPr>
          <w:sz w:val="20"/>
        </w:rPr>
      </w:pPr>
      <w:r>
        <w:rPr>
          <w:color w:val="231F20"/>
          <w:sz w:val="20"/>
        </w:rPr>
        <w:t>sposoby </w:t>
      </w:r>
      <w:r>
        <w:rPr>
          <w:color w:val="231F20"/>
          <w:spacing w:val="-2"/>
          <w:sz w:val="20"/>
        </w:rPr>
        <w:t>finansowania.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Heading2"/>
        <w:spacing w:before="220"/>
        <w:ind w:left="0" w:right="556"/>
        <w:jc w:val="center"/>
      </w:pPr>
      <w:bookmarkStart w:name="Załącznik A (informacyjny) Przykłady sto" w:id="54"/>
      <w:bookmarkEnd w:id="54"/>
      <w:r>
        <w:rPr>
          <w:b w:val="0"/>
        </w:rPr>
      </w:r>
      <w:bookmarkStart w:name="_bookmark15" w:id="55"/>
      <w:bookmarkEnd w:id="55"/>
      <w:r>
        <w:rPr>
          <w:b w:val="0"/>
        </w:rPr>
      </w:r>
      <w:r>
        <w:rPr>
          <w:color w:val="231F20"/>
          <w:spacing w:val="-2"/>
        </w:rPr>
        <w:t>Załącznik</w:t>
      </w:r>
      <w:r>
        <w:rPr>
          <w:color w:val="231F20"/>
          <w:spacing w:val="1"/>
        </w:rPr>
        <w:t> </w:t>
      </w:r>
      <w:r>
        <w:rPr>
          <w:color w:val="231F20"/>
          <w:spacing w:val="-10"/>
        </w:rPr>
        <w:t>A</w:t>
      </w:r>
    </w:p>
    <w:p>
      <w:pPr>
        <w:spacing w:before="23"/>
        <w:ind w:left="0" w:right="564" w:firstLine="0"/>
        <w:jc w:val="center"/>
        <w:rPr>
          <w:sz w:val="22"/>
        </w:rPr>
      </w:pPr>
      <w:r>
        <w:rPr>
          <w:color w:val="231F20"/>
          <w:spacing w:val="-2"/>
          <w:sz w:val="22"/>
        </w:rPr>
        <w:t>(informacyjny)</w:t>
      </w:r>
    </w:p>
    <w:p>
      <w:pPr>
        <w:pStyle w:val="BodyText"/>
        <w:spacing w:before="54"/>
        <w:rPr>
          <w:sz w:val="22"/>
        </w:rPr>
      </w:pPr>
    </w:p>
    <w:p>
      <w:pPr>
        <w:spacing w:line="266" w:lineRule="auto" w:before="0"/>
        <w:ind w:left="612" w:right="1177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Przykłady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z w:val="22"/>
        </w:rPr>
        <w:t>stosowania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z w:val="22"/>
        </w:rPr>
        <w:t>wskaźników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z w:val="22"/>
        </w:rPr>
        <w:t>charakteryzujących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z w:val="22"/>
        </w:rPr>
        <w:t>powierzchnie</w:t>
      </w:r>
      <w:r>
        <w:rPr>
          <w:rFonts w:ascii="Arial" w:hAnsi="Arial"/>
          <w:b/>
          <w:color w:val="231F20"/>
          <w:spacing w:val="-7"/>
          <w:sz w:val="22"/>
        </w:rPr>
        <w:t> </w:t>
      </w:r>
      <w:r>
        <w:rPr>
          <w:rFonts w:ascii="Arial" w:hAnsi="Arial"/>
          <w:b/>
          <w:color w:val="231F20"/>
          <w:sz w:val="22"/>
        </w:rPr>
        <w:t>nieużyteczne w nowych budynkach</w:t>
      </w:r>
    </w:p>
    <w:p>
      <w:pPr>
        <w:pStyle w:val="BodyText"/>
        <w:spacing w:before="123"/>
        <w:rPr>
          <w:rFonts w:ascii="Arial"/>
          <w:b/>
          <w:sz w:val="22"/>
        </w:rPr>
      </w:pPr>
    </w:p>
    <w:p>
      <w:pPr>
        <w:pStyle w:val="Heading2"/>
        <w:numPr>
          <w:ilvl w:val="1"/>
          <w:numId w:val="34"/>
        </w:numPr>
        <w:tabs>
          <w:tab w:pos="649" w:val="left" w:leader="none"/>
        </w:tabs>
        <w:spacing w:line="242" w:lineRule="auto" w:before="0" w:after="0"/>
        <w:ind w:left="142" w:right="1832" w:firstLine="0"/>
        <w:jc w:val="left"/>
      </w:pPr>
      <w:r>
        <w:rPr>
          <w:color w:val="231F20"/>
        </w:rPr>
        <w:t>Dopuszczalny</w:t>
      </w:r>
      <w:r>
        <w:rPr>
          <w:color w:val="231F20"/>
          <w:spacing w:val="-6"/>
        </w:rPr>
        <w:t> </w:t>
      </w:r>
      <w:r>
        <w:rPr>
          <w:color w:val="231F20"/>
        </w:rPr>
        <w:t>maksymalny</w:t>
      </w:r>
      <w:r>
        <w:rPr>
          <w:color w:val="231F20"/>
          <w:spacing w:val="-6"/>
        </w:rPr>
        <w:t> </w:t>
      </w:r>
      <w:r>
        <w:rPr>
          <w:color w:val="231F20"/>
        </w:rPr>
        <w:t>udział</w:t>
      </w:r>
      <w:r>
        <w:rPr>
          <w:color w:val="231F20"/>
          <w:spacing w:val="-6"/>
        </w:rPr>
        <w:t> </w:t>
      </w:r>
      <w:r>
        <w:rPr>
          <w:color w:val="231F20"/>
        </w:rPr>
        <w:t>powierzchni</w:t>
      </w:r>
      <w:r>
        <w:rPr>
          <w:color w:val="231F20"/>
          <w:spacing w:val="-6"/>
        </w:rPr>
        <w:t> </w:t>
      </w:r>
      <w:r>
        <w:rPr>
          <w:color w:val="231F20"/>
        </w:rPr>
        <w:t>nieużytecznej</w:t>
      </w:r>
      <w:r>
        <w:rPr>
          <w:color w:val="231F20"/>
          <w:spacing w:val="-6"/>
        </w:rPr>
        <w:t> </w:t>
      </w:r>
      <w:r>
        <w:rPr>
          <w:color w:val="231F20"/>
        </w:rPr>
        <w:t>budynku w powierzchni użytkowej</w:t>
      </w:r>
    </w:p>
    <w:p>
      <w:pPr>
        <w:pStyle w:val="BodyText"/>
        <w:spacing w:line="249" w:lineRule="auto" w:before="227"/>
        <w:ind w:left="142" w:right="707"/>
        <w:jc w:val="both"/>
      </w:pPr>
      <w:r>
        <w:rPr>
          <w:color w:val="231F20"/>
          <w:w w:val="90"/>
        </w:rPr>
        <w:t>Do umowy dotyczącej prac projektowych zarządzający projektem może włączyć wymaganie, aby w powierzchni </w:t>
      </w:r>
      <w:r>
        <w:rPr>
          <w:color w:val="231F20"/>
          <w:spacing w:val="-2"/>
        </w:rPr>
        <w:t>użytkowej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budynku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udział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powierzchni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nieużytecznej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budynku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ze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względów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konstrukcyjnych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nie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przekraczał założonej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wielkości,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przykład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5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%,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łączna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powierzchnia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nieużyteczna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budynku,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zarówno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ze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względów </w:t>
      </w:r>
      <w:r>
        <w:rPr>
          <w:color w:val="231F20"/>
        </w:rPr>
        <w:t>konstrukcyjnych i funkcjonalnych, nie przekraczała na przykład 10 %.</w:t>
      </w:r>
    </w:p>
    <w:p>
      <w:pPr>
        <w:pStyle w:val="BodyText"/>
        <w:spacing w:before="173"/>
      </w:pPr>
    </w:p>
    <w:p>
      <w:pPr>
        <w:pStyle w:val="Heading2"/>
        <w:numPr>
          <w:ilvl w:val="1"/>
          <w:numId w:val="34"/>
        </w:numPr>
        <w:tabs>
          <w:tab w:pos="649" w:val="left" w:leader="none"/>
        </w:tabs>
        <w:spacing w:line="242" w:lineRule="auto" w:before="0" w:after="0"/>
        <w:ind w:left="142" w:right="1484" w:firstLine="0"/>
        <w:jc w:val="left"/>
      </w:pPr>
      <w:r>
        <w:rPr>
          <w:color w:val="231F20"/>
        </w:rPr>
        <w:t>Przykład</w:t>
      </w:r>
      <w:r>
        <w:rPr>
          <w:color w:val="231F20"/>
          <w:spacing w:val="-5"/>
        </w:rPr>
        <w:t> </w:t>
      </w:r>
      <w:r>
        <w:rPr>
          <w:color w:val="231F20"/>
        </w:rPr>
        <w:t>występowania</w:t>
      </w:r>
      <w:r>
        <w:rPr>
          <w:color w:val="231F20"/>
          <w:spacing w:val="-5"/>
        </w:rPr>
        <w:t> </w:t>
      </w:r>
      <w:r>
        <w:rPr>
          <w:color w:val="231F20"/>
        </w:rPr>
        <w:t>powierzchni</w:t>
      </w:r>
      <w:r>
        <w:rPr>
          <w:color w:val="231F20"/>
          <w:spacing w:val="-5"/>
        </w:rPr>
        <w:t> </w:t>
      </w:r>
      <w:r>
        <w:rPr>
          <w:color w:val="231F20"/>
        </w:rPr>
        <w:t>nieużytecznej</w:t>
      </w:r>
      <w:r>
        <w:rPr>
          <w:color w:val="231F20"/>
          <w:spacing w:val="-5"/>
        </w:rPr>
        <w:t> </w:t>
      </w:r>
      <w:r>
        <w:rPr>
          <w:color w:val="231F20"/>
        </w:rPr>
        <w:t>budynku</w:t>
      </w:r>
      <w:r>
        <w:rPr>
          <w:color w:val="231F20"/>
          <w:spacing w:val="-5"/>
        </w:rPr>
        <w:t> </w:t>
      </w:r>
      <w:r>
        <w:rPr>
          <w:color w:val="231F20"/>
        </w:rPr>
        <w:t>ze</w:t>
      </w:r>
      <w:r>
        <w:rPr>
          <w:color w:val="231F20"/>
          <w:spacing w:val="-5"/>
        </w:rPr>
        <w:t> </w:t>
      </w:r>
      <w:r>
        <w:rPr>
          <w:color w:val="231F20"/>
        </w:rPr>
        <w:t>względów </w:t>
      </w:r>
      <w:r>
        <w:rPr>
          <w:color w:val="231F20"/>
          <w:spacing w:val="-2"/>
        </w:rPr>
        <w:t>konstrukcyjnych</w:t>
      </w:r>
    </w:p>
    <w:p>
      <w:pPr>
        <w:pStyle w:val="BodyText"/>
        <w:spacing w:line="249" w:lineRule="auto" w:before="204"/>
        <w:ind w:left="142" w:right="703"/>
        <w:jc w:val="both"/>
      </w:pPr>
      <w:r>
        <w:rPr>
          <w:color w:val="231F20"/>
          <w:spacing w:val="-6"/>
        </w:rPr>
        <w:t>Ograniczenie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powierzchni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nieużytecznej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budynku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ze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względów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konstrukcyjnych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może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być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bardzo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korzystne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dla </w:t>
      </w:r>
      <w:r>
        <w:rPr>
          <w:color w:val="231F20"/>
          <w:w w:val="90"/>
        </w:rPr>
        <w:t>właściciela. Na przykład, korporacja musiała się przenieść przed upływem terminu dzierżawy budynku, w którym </w:t>
      </w:r>
      <w:r>
        <w:rPr>
          <w:color w:val="231F20"/>
          <w:spacing w:val="-4"/>
        </w:rPr>
        <w:t>miała swoją siedzibę, lub płacić wysokie kary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za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każdy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dzień pozostawania w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budynku po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tym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terminie. Kor- </w:t>
      </w:r>
      <w:r>
        <w:rPr>
          <w:color w:val="231F20"/>
          <w:spacing w:val="-8"/>
        </w:rPr>
        <w:t>poracja</w:t>
      </w:r>
      <w:r>
        <w:rPr>
          <w:color w:val="231F20"/>
        </w:rPr>
        <w:t> </w:t>
      </w:r>
      <w:r>
        <w:rPr>
          <w:color w:val="231F20"/>
          <w:spacing w:val="-8"/>
        </w:rPr>
        <w:t>chciała</w:t>
      </w:r>
      <w:r>
        <w:rPr>
          <w:color w:val="231F20"/>
        </w:rPr>
        <w:t> </w:t>
      </w:r>
      <w:r>
        <w:rPr>
          <w:color w:val="231F20"/>
          <w:spacing w:val="-8"/>
        </w:rPr>
        <w:t>mieć</w:t>
      </w:r>
      <w:r>
        <w:rPr>
          <w:color w:val="231F20"/>
        </w:rPr>
        <w:t> </w:t>
      </w:r>
      <w:r>
        <w:rPr>
          <w:color w:val="231F20"/>
          <w:spacing w:val="-8"/>
        </w:rPr>
        <w:t>pewność,</w:t>
      </w:r>
      <w:r>
        <w:rPr>
          <w:color w:val="231F20"/>
        </w:rPr>
        <w:t> </w:t>
      </w:r>
      <w:r>
        <w:rPr>
          <w:color w:val="231F20"/>
          <w:spacing w:val="-8"/>
        </w:rPr>
        <w:t>że</w:t>
      </w:r>
      <w:r>
        <w:rPr>
          <w:color w:val="231F20"/>
        </w:rPr>
        <w:t> </w:t>
      </w:r>
      <w:r>
        <w:rPr>
          <w:color w:val="231F20"/>
          <w:spacing w:val="-8"/>
        </w:rPr>
        <w:t>w</w:t>
      </w:r>
      <w:r>
        <w:rPr>
          <w:color w:val="231F20"/>
        </w:rPr>
        <w:t> </w:t>
      </w:r>
      <w:r>
        <w:rPr>
          <w:color w:val="231F20"/>
          <w:spacing w:val="-8"/>
        </w:rPr>
        <w:t>nowej</w:t>
      </w:r>
      <w:r>
        <w:rPr>
          <w:color w:val="231F20"/>
        </w:rPr>
        <w:t> </w:t>
      </w:r>
      <w:r>
        <w:rPr>
          <w:color w:val="231F20"/>
          <w:spacing w:val="-8"/>
        </w:rPr>
        <w:t>siedzibie,</w:t>
      </w:r>
      <w:r>
        <w:rPr>
          <w:color w:val="231F20"/>
        </w:rPr>
        <w:t> </w:t>
      </w:r>
      <w:r>
        <w:rPr>
          <w:color w:val="231F20"/>
          <w:spacing w:val="-8"/>
        </w:rPr>
        <w:t>po</w:t>
      </w:r>
      <w:r>
        <w:rPr>
          <w:color w:val="231F20"/>
        </w:rPr>
        <w:t> </w:t>
      </w:r>
      <w:r>
        <w:rPr>
          <w:color w:val="231F20"/>
          <w:spacing w:val="-8"/>
        </w:rPr>
        <w:t>przeprowadzce,</w:t>
      </w:r>
      <w:r>
        <w:rPr>
          <w:color w:val="231F20"/>
        </w:rPr>
        <w:t> </w:t>
      </w:r>
      <w:r>
        <w:rPr>
          <w:color w:val="231F20"/>
          <w:spacing w:val="-8"/>
        </w:rPr>
        <w:t>będzie</w:t>
      </w:r>
      <w:r>
        <w:rPr>
          <w:color w:val="231F20"/>
        </w:rPr>
        <w:t> </w:t>
      </w:r>
      <w:r>
        <w:rPr>
          <w:color w:val="231F20"/>
          <w:spacing w:val="-8"/>
        </w:rPr>
        <w:t>wystarczająco</w:t>
      </w:r>
      <w:r>
        <w:rPr>
          <w:color w:val="231F20"/>
        </w:rPr>
        <w:t> </w:t>
      </w:r>
      <w:r>
        <w:rPr>
          <w:color w:val="231F20"/>
          <w:spacing w:val="-8"/>
        </w:rPr>
        <w:t>dużo</w:t>
      </w:r>
      <w:r>
        <w:rPr>
          <w:color w:val="231F20"/>
        </w:rPr>
        <w:t> </w:t>
      </w:r>
      <w:r>
        <w:rPr>
          <w:color w:val="231F20"/>
          <w:spacing w:val="-8"/>
        </w:rPr>
        <w:t>miejsca, </w:t>
      </w:r>
      <w:r>
        <w:rPr>
          <w:color w:val="231F20"/>
          <w:spacing w:val="-2"/>
        </w:rPr>
        <w:t>aby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właściwie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rozmieścić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personel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sprzęt.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związku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z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tym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umowy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wykonanie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projektu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realizację </w:t>
      </w:r>
      <w:r>
        <w:rPr>
          <w:color w:val="231F20"/>
        </w:rPr>
        <w:t>wielokondygnacyjnego</w:t>
      </w:r>
      <w:r>
        <w:rPr>
          <w:color w:val="231F20"/>
          <w:spacing w:val="-12"/>
        </w:rPr>
        <w:t> </w:t>
      </w:r>
      <w:r>
        <w:rPr>
          <w:color w:val="231F20"/>
        </w:rPr>
        <w:t>budynku</w:t>
      </w:r>
      <w:r>
        <w:rPr>
          <w:color w:val="231F20"/>
          <w:spacing w:val="-12"/>
        </w:rPr>
        <w:t> </w:t>
      </w:r>
      <w:r>
        <w:rPr>
          <w:color w:val="231F20"/>
        </w:rPr>
        <w:t>swojej</w:t>
      </w:r>
      <w:r>
        <w:rPr>
          <w:color w:val="231F20"/>
          <w:spacing w:val="-12"/>
        </w:rPr>
        <w:t> </w:t>
      </w:r>
      <w:r>
        <w:rPr>
          <w:color w:val="231F20"/>
        </w:rPr>
        <w:t>nowej</w:t>
      </w:r>
      <w:r>
        <w:rPr>
          <w:color w:val="231F20"/>
          <w:spacing w:val="-12"/>
        </w:rPr>
        <w:t> </w:t>
      </w:r>
      <w:r>
        <w:rPr>
          <w:color w:val="231F20"/>
        </w:rPr>
        <w:t>siedziby,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własnej</w:t>
      </w:r>
      <w:r>
        <w:rPr>
          <w:color w:val="231F20"/>
          <w:spacing w:val="-12"/>
        </w:rPr>
        <w:t> </w:t>
      </w:r>
      <w:r>
        <w:rPr>
          <w:color w:val="231F20"/>
        </w:rPr>
        <w:t>położonej</w:t>
      </w:r>
      <w:r>
        <w:rPr>
          <w:color w:val="231F20"/>
          <w:spacing w:val="-12"/>
        </w:rPr>
        <w:t> </w:t>
      </w:r>
      <w:r>
        <w:rPr>
          <w:color w:val="231F20"/>
        </w:rPr>
        <w:t>w</w:t>
      </w:r>
      <w:r>
        <w:rPr>
          <w:color w:val="231F20"/>
          <w:spacing w:val="-12"/>
        </w:rPr>
        <w:t> </w:t>
      </w:r>
      <w:r>
        <w:rPr>
          <w:color w:val="231F20"/>
        </w:rPr>
        <w:t>pobliżu</w:t>
      </w:r>
      <w:r>
        <w:rPr>
          <w:color w:val="231F20"/>
          <w:spacing w:val="-12"/>
        </w:rPr>
        <w:t> </w:t>
      </w:r>
      <w:r>
        <w:rPr>
          <w:color w:val="231F20"/>
        </w:rPr>
        <w:t>działce,</w:t>
      </w:r>
      <w:r>
        <w:rPr>
          <w:color w:val="231F20"/>
          <w:spacing w:val="-12"/>
        </w:rPr>
        <w:t> </w:t>
      </w:r>
      <w:r>
        <w:rPr>
          <w:color w:val="231F20"/>
        </w:rPr>
        <w:t>wprowadziła </w:t>
      </w:r>
      <w:r>
        <w:rPr>
          <w:color w:val="231F20"/>
          <w:spacing w:val="-2"/>
        </w:rPr>
        <w:t>wymagania dotyczące maksymalnego dopuszczalnego procentu powierzchni nieużytecznej. W projekcie no- </w:t>
      </w:r>
      <w:r>
        <w:rPr>
          <w:color w:val="231F20"/>
        </w:rPr>
        <w:t>wego</w:t>
      </w:r>
      <w:r>
        <w:rPr>
          <w:color w:val="231F20"/>
          <w:spacing w:val="-8"/>
        </w:rPr>
        <w:t> </w:t>
      </w:r>
      <w:r>
        <w:rPr>
          <w:color w:val="231F20"/>
        </w:rPr>
        <w:t>budynku</w:t>
      </w:r>
      <w:r>
        <w:rPr>
          <w:color w:val="231F20"/>
          <w:spacing w:val="-8"/>
        </w:rPr>
        <w:t> </w:t>
      </w:r>
      <w:r>
        <w:rPr>
          <w:color w:val="231F20"/>
        </w:rPr>
        <w:t>postanowiono</w:t>
      </w:r>
      <w:r>
        <w:rPr>
          <w:color w:val="231F20"/>
          <w:spacing w:val="-8"/>
        </w:rPr>
        <w:t> </w:t>
      </w:r>
      <w:r>
        <w:rPr>
          <w:color w:val="231F20"/>
        </w:rPr>
        <w:t>uwzględnić</w:t>
      </w:r>
      <w:r>
        <w:rPr>
          <w:color w:val="231F20"/>
          <w:spacing w:val="-8"/>
        </w:rPr>
        <w:t> </w:t>
      </w:r>
      <w:r>
        <w:rPr>
          <w:color w:val="231F20"/>
        </w:rPr>
        <w:t>te</w:t>
      </w:r>
      <w:r>
        <w:rPr>
          <w:color w:val="231F20"/>
          <w:spacing w:val="-8"/>
        </w:rPr>
        <w:t> </w:t>
      </w:r>
      <w:r>
        <w:rPr>
          <w:color w:val="231F20"/>
        </w:rPr>
        <w:t>wymagania</w:t>
      </w:r>
      <w:r>
        <w:rPr>
          <w:color w:val="231F20"/>
          <w:spacing w:val="-8"/>
        </w:rPr>
        <w:t> </w:t>
      </w:r>
      <w:r>
        <w:rPr>
          <w:color w:val="231F20"/>
        </w:rPr>
        <w:t>pod</w:t>
      </w:r>
      <w:r>
        <w:rPr>
          <w:color w:val="231F20"/>
          <w:spacing w:val="-8"/>
        </w:rPr>
        <w:t> </w:t>
      </w:r>
      <w:r>
        <w:rPr>
          <w:color w:val="231F20"/>
        </w:rPr>
        <w:t>warunkiem</w:t>
      </w:r>
      <w:r>
        <w:rPr>
          <w:color w:val="231F20"/>
          <w:spacing w:val="-8"/>
        </w:rPr>
        <w:t> </w:t>
      </w:r>
      <w:r>
        <w:rPr>
          <w:color w:val="231F20"/>
        </w:rPr>
        <w:t>zastosowania</w:t>
      </w:r>
      <w:r>
        <w:rPr>
          <w:color w:val="231F20"/>
          <w:spacing w:val="-8"/>
        </w:rPr>
        <w:t> </w:t>
      </w:r>
      <w:r>
        <w:rPr>
          <w:color w:val="231F20"/>
        </w:rPr>
        <w:t>szkieletu</w:t>
      </w:r>
      <w:r>
        <w:rPr>
          <w:color w:val="231F20"/>
          <w:spacing w:val="-8"/>
        </w:rPr>
        <w:t> </w:t>
      </w:r>
      <w:r>
        <w:rPr>
          <w:color w:val="231F20"/>
        </w:rPr>
        <w:t>stalowego.</w:t>
      </w:r>
    </w:p>
    <w:p>
      <w:pPr>
        <w:pStyle w:val="BodyText"/>
        <w:spacing w:line="249" w:lineRule="auto" w:before="211"/>
        <w:ind w:left="142" w:right="706"/>
        <w:jc w:val="both"/>
      </w:pPr>
      <w:r>
        <w:rPr>
          <w:color w:val="231F20"/>
        </w:rPr>
        <w:t>Na dolnych kondygnacjach budynku wymiary słupów wraz z ich wykończeniem, wynosiły 0,56 m na 0,61 m. </w:t>
      </w:r>
      <w:r>
        <w:rPr>
          <w:color w:val="231F20"/>
          <w:spacing w:val="-6"/>
        </w:rPr>
        <w:t>Kiedy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zorientowano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się,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że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konstrukcji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stalowej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nie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można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wykonać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zmontować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przed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upływem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wymaganego terminu,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zmieniono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konstrukcję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stalową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konstrukcję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z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betonu.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Wymiary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słupów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dolnych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kondygnacji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należało </w:t>
      </w:r>
      <w:r>
        <w:rPr>
          <w:color w:val="231F20"/>
          <w:spacing w:val="-8"/>
        </w:rPr>
        <w:t>zwiększyć</w:t>
      </w:r>
      <w:r>
        <w:rPr>
          <w:color w:val="231F20"/>
        </w:rPr>
        <w:t> </w:t>
      </w:r>
      <w:r>
        <w:rPr>
          <w:color w:val="231F20"/>
          <w:spacing w:val="-8"/>
        </w:rPr>
        <w:t>do</w:t>
      </w:r>
      <w:r>
        <w:rPr>
          <w:color w:val="231F20"/>
        </w:rPr>
        <w:t> </w:t>
      </w:r>
      <w:r>
        <w:rPr>
          <w:color w:val="231F20"/>
          <w:spacing w:val="-8"/>
        </w:rPr>
        <w:t>wymiarów</w:t>
      </w:r>
      <w:r>
        <w:rPr>
          <w:color w:val="231F20"/>
        </w:rPr>
        <w:t> </w:t>
      </w:r>
      <w:r>
        <w:rPr>
          <w:color w:val="231F20"/>
          <w:spacing w:val="-8"/>
        </w:rPr>
        <w:t>1,52</w:t>
      </w:r>
      <w:r>
        <w:rPr>
          <w:color w:val="231F20"/>
        </w:rPr>
        <w:t> </w:t>
      </w:r>
      <w:r>
        <w:rPr>
          <w:color w:val="231F20"/>
          <w:spacing w:val="-8"/>
        </w:rPr>
        <w:t>m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1,3</w:t>
      </w:r>
      <w:r>
        <w:rPr>
          <w:color w:val="231F20"/>
        </w:rPr>
        <w:t> </w:t>
      </w:r>
      <w:r>
        <w:rPr>
          <w:color w:val="231F20"/>
          <w:spacing w:val="-8"/>
        </w:rPr>
        <w:t>m.</w:t>
      </w:r>
      <w:r>
        <w:rPr>
          <w:color w:val="231F20"/>
        </w:rPr>
        <w:t> </w:t>
      </w:r>
      <w:r>
        <w:rPr>
          <w:color w:val="231F20"/>
          <w:spacing w:val="-8"/>
        </w:rPr>
        <w:t>Łączna</w:t>
      </w:r>
      <w:r>
        <w:rPr>
          <w:color w:val="231F20"/>
        </w:rPr>
        <w:t> </w:t>
      </w:r>
      <w:r>
        <w:rPr>
          <w:color w:val="231F20"/>
          <w:spacing w:val="-8"/>
        </w:rPr>
        <w:t>powierzchnia,</w:t>
      </w:r>
      <w:r>
        <w:rPr>
          <w:color w:val="231F20"/>
        </w:rPr>
        <w:t> </w:t>
      </w:r>
      <w:r>
        <w:rPr>
          <w:color w:val="231F20"/>
          <w:spacing w:val="-8"/>
        </w:rPr>
        <w:t>jaką</w:t>
      </w:r>
      <w:r>
        <w:rPr>
          <w:color w:val="231F20"/>
        </w:rPr>
        <w:t> </w:t>
      </w:r>
      <w:r>
        <w:rPr>
          <w:color w:val="231F20"/>
          <w:spacing w:val="-8"/>
        </w:rPr>
        <w:t>zajmowałyby</w:t>
      </w:r>
      <w:r>
        <w:rPr>
          <w:color w:val="231F20"/>
        </w:rPr>
        <w:t> </w:t>
      </w:r>
      <w:r>
        <w:rPr>
          <w:color w:val="231F20"/>
          <w:spacing w:val="-8"/>
        </w:rPr>
        <w:t>słupy</w:t>
      </w:r>
      <w:r>
        <w:rPr>
          <w:color w:val="231F20"/>
        </w:rPr>
        <w:t> </w:t>
      </w:r>
      <w:r>
        <w:rPr>
          <w:color w:val="231F20"/>
          <w:spacing w:val="-8"/>
        </w:rPr>
        <w:t>i</w:t>
      </w:r>
      <w:r>
        <w:rPr>
          <w:color w:val="231F20"/>
        </w:rPr>
        <w:t> </w:t>
      </w:r>
      <w:r>
        <w:rPr>
          <w:color w:val="231F20"/>
          <w:spacing w:val="-8"/>
        </w:rPr>
        <w:t>ściany</w:t>
      </w:r>
      <w:r>
        <w:rPr>
          <w:color w:val="231F20"/>
        </w:rPr>
        <w:t> </w:t>
      </w:r>
      <w:r>
        <w:rPr>
          <w:color w:val="231F20"/>
          <w:spacing w:val="-8"/>
        </w:rPr>
        <w:t>konstrukcyjne, </w:t>
      </w:r>
      <w:r>
        <w:rPr>
          <w:color w:val="231F20"/>
          <w:spacing w:val="-2"/>
        </w:rPr>
        <w:t>wzrosła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tego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stopnia,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że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zmniejszenie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powierzchni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użytkowej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odpowiadało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powierzchni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więcej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niż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dwóch </w:t>
      </w:r>
      <w:r>
        <w:rPr>
          <w:color w:val="231F20"/>
          <w:spacing w:val="-6"/>
        </w:rPr>
        <w:t>kondygnacji budynku. Ponieważ umowa przewidywała określony maksymalny udział powierzchni nieużytecznej </w:t>
      </w:r>
      <w:r>
        <w:rPr>
          <w:color w:val="231F20"/>
          <w:spacing w:val="-2"/>
        </w:rPr>
        <w:t>w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powierzchni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budynku,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właściciel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aby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wyrównać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zmniejszenie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jego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powierzchni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użytkowej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zmuszony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był </w:t>
      </w:r>
      <w:r>
        <w:rPr>
          <w:color w:val="231F20"/>
        </w:rPr>
        <w:t>przewidzieć dwie dodatkowe kondygnacje.</w:t>
      </w:r>
    </w:p>
    <w:p>
      <w:pPr>
        <w:pStyle w:val="BodyText"/>
        <w:spacing w:before="175"/>
      </w:pPr>
    </w:p>
    <w:p>
      <w:pPr>
        <w:pStyle w:val="Heading2"/>
        <w:numPr>
          <w:ilvl w:val="1"/>
          <w:numId w:val="34"/>
        </w:numPr>
        <w:tabs>
          <w:tab w:pos="649" w:val="left" w:leader="none"/>
        </w:tabs>
        <w:spacing w:line="242" w:lineRule="auto" w:before="1" w:after="0"/>
        <w:ind w:left="142" w:right="1484" w:firstLine="0"/>
        <w:jc w:val="left"/>
      </w:pPr>
      <w:r>
        <w:rPr>
          <w:color w:val="231F20"/>
        </w:rPr>
        <w:t>Przykład</w:t>
      </w:r>
      <w:r>
        <w:rPr>
          <w:color w:val="231F20"/>
          <w:spacing w:val="-5"/>
        </w:rPr>
        <w:t> </w:t>
      </w:r>
      <w:r>
        <w:rPr>
          <w:color w:val="231F20"/>
        </w:rPr>
        <w:t>występowania</w:t>
      </w:r>
      <w:r>
        <w:rPr>
          <w:color w:val="231F20"/>
          <w:spacing w:val="-5"/>
        </w:rPr>
        <w:t> </w:t>
      </w:r>
      <w:r>
        <w:rPr>
          <w:color w:val="231F20"/>
        </w:rPr>
        <w:t>powierzchni</w:t>
      </w:r>
      <w:r>
        <w:rPr>
          <w:color w:val="231F20"/>
          <w:spacing w:val="-5"/>
        </w:rPr>
        <w:t> </w:t>
      </w:r>
      <w:r>
        <w:rPr>
          <w:color w:val="231F20"/>
        </w:rPr>
        <w:t>nieużytecznej</w:t>
      </w:r>
      <w:r>
        <w:rPr>
          <w:color w:val="231F20"/>
          <w:spacing w:val="-5"/>
        </w:rPr>
        <w:t> </w:t>
      </w:r>
      <w:r>
        <w:rPr>
          <w:color w:val="231F20"/>
        </w:rPr>
        <w:t>budynku</w:t>
      </w:r>
      <w:r>
        <w:rPr>
          <w:color w:val="231F20"/>
          <w:spacing w:val="-5"/>
        </w:rPr>
        <w:t> </w:t>
      </w:r>
      <w:r>
        <w:rPr>
          <w:color w:val="231F20"/>
        </w:rPr>
        <w:t>ze</w:t>
      </w:r>
      <w:r>
        <w:rPr>
          <w:color w:val="231F20"/>
          <w:spacing w:val="-5"/>
        </w:rPr>
        <w:t> </w:t>
      </w:r>
      <w:r>
        <w:rPr>
          <w:color w:val="231F20"/>
        </w:rPr>
        <w:t>względów </w:t>
      </w:r>
      <w:r>
        <w:rPr>
          <w:color w:val="231F20"/>
          <w:spacing w:val="-2"/>
        </w:rPr>
        <w:t>funkcjonalnych</w:t>
      </w:r>
    </w:p>
    <w:p>
      <w:pPr>
        <w:pStyle w:val="BodyText"/>
        <w:spacing w:line="249" w:lineRule="auto" w:before="204"/>
        <w:ind w:left="142" w:right="709"/>
        <w:jc w:val="both"/>
      </w:pPr>
      <w:r>
        <w:rPr>
          <w:color w:val="231F20"/>
          <w:spacing w:val="-10"/>
        </w:rPr>
        <w:t>Rząd</w:t>
      </w:r>
      <w:r>
        <w:rPr>
          <w:color w:val="231F20"/>
        </w:rPr>
        <w:t> </w:t>
      </w:r>
      <w:r>
        <w:rPr>
          <w:color w:val="231F20"/>
          <w:spacing w:val="-10"/>
        </w:rPr>
        <w:t>zwrócił</w:t>
      </w:r>
      <w:r>
        <w:rPr>
          <w:color w:val="231F20"/>
        </w:rPr>
        <w:t> </w:t>
      </w:r>
      <w:r>
        <w:rPr>
          <w:color w:val="231F20"/>
          <w:spacing w:val="-10"/>
        </w:rPr>
        <w:t>się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trzech</w:t>
      </w:r>
      <w:r>
        <w:rPr>
          <w:color w:val="231F20"/>
        </w:rPr>
        <w:t> </w:t>
      </w:r>
      <w:r>
        <w:rPr>
          <w:color w:val="231F20"/>
          <w:spacing w:val="-10"/>
        </w:rPr>
        <w:t>zespołów,</w:t>
      </w:r>
      <w:r>
        <w:rPr>
          <w:color w:val="231F20"/>
        </w:rPr>
        <w:t> </w:t>
      </w:r>
      <w:r>
        <w:rPr>
          <w:color w:val="231F20"/>
          <w:spacing w:val="-10"/>
        </w:rPr>
        <w:t>prowadzących</w:t>
      </w:r>
      <w:r>
        <w:rPr>
          <w:color w:val="231F20"/>
        </w:rPr>
        <w:t> </w:t>
      </w:r>
      <w:r>
        <w:rPr>
          <w:color w:val="231F20"/>
          <w:spacing w:val="-10"/>
        </w:rPr>
        <w:t>własne</w:t>
      </w:r>
      <w:r>
        <w:rPr>
          <w:color w:val="231F20"/>
        </w:rPr>
        <w:t> </w:t>
      </w:r>
      <w:r>
        <w:rPr>
          <w:color w:val="231F20"/>
          <w:spacing w:val="-10"/>
        </w:rPr>
        <w:t>firmy</w:t>
      </w:r>
      <w:r>
        <w:rPr>
          <w:color w:val="231F20"/>
        </w:rPr>
        <w:t> </w:t>
      </w:r>
      <w:r>
        <w:rPr>
          <w:color w:val="231F20"/>
          <w:spacing w:val="-10"/>
        </w:rPr>
        <w:t>projektowe</w:t>
      </w:r>
      <w:r>
        <w:rPr>
          <w:color w:val="231F20"/>
        </w:rPr>
        <w:t> </w:t>
      </w:r>
      <w:r>
        <w:rPr>
          <w:color w:val="231F20"/>
          <w:spacing w:val="-10"/>
        </w:rPr>
        <w:t>i</w:t>
      </w:r>
      <w:r>
        <w:rPr>
          <w:color w:val="231F20"/>
        </w:rPr>
        <w:t> </w:t>
      </w:r>
      <w:r>
        <w:rPr>
          <w:color w:val="231F20"/>
          <w:spacing w:val="-10"/>
        </w:rPr>
        <w:t>wykonawcze,</w:t>
      </w:r>
      <w:r>
        <w:rPr>
          <w:color w:val="231F20"/>
        </w:rPr>
        <w:t> </w:t>
      </w:r>
      <w:r>
        <w:rPr>
          <w:color w:val="231F20"/>
          <w:spacing w:val="-10"/>
        </w:rPr>
        <w:t>z</w:t>
      </w:r>
      <w:r>
        <w:rPr>
          <w:color w:val="231F20"/>
        </w:rPr>
        <w:t> </w:t>
      </w:r>
      <w:r>
        <w:rPr>
          <w:color w:val="231F20"/>
          <w:spacing w:val="-10"/>
        </w:rPr>
        <w:t>prośbą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składanie </w:t>
      </w:r>
      <w:r>
        <w:rPr>
          <w:color w:val="231F20"/>
          <w:spacing w:val="-2"/>
        </w:rPr>
        <w:t>ofert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wybudowanie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nowej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ambasady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dwóch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krajach,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podobnych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lokalizacjach.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warunkach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ofertowych </w:t>
      </w:r>
      <w:r>
        <w:rPr>
          <w:color w:val="231F20"/>
        </w:rPr>
        <w:t>określono</w:t>
      </w:r>
      <w:r>
        <w:rPr>
          <w:color w:val="231F20"/>
          <w:spacing w:val="-14"/>
        </w:rPr>
        <w:t> </w:t>
      </w:r>
      <w:r>
        <w:rPr>
          <w:color w:val="231F20"/>
        </w:rPr>
        <w:t>ograniczenia,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których</w:t>
      </w:r>
      <w:r>
        <w:rPr>
          <w:color w:val="231F20"/>
          <w:spacing w:val="-11"/>
        </w:rPr>
        <w:t> </w:t>
      </w:r>
      <w:r>
        <w:rPr>
          <w:color w:val="231F20"/>
        </w:rPr>
        <w:t>mowa</w:t>
      </w:r>
      <w:r>
        <w:rPr>
          <w:color w:val="231F20"/>
          <w:spacing w:val="-11"/>
        </w:rPr>
        <w:t> </w:t>
      </w:r>
      <w:r>
        <w:rPr>
          <w:color w:val="231F20"/>
        </w:rPr>
        <w:t>w</w:t>
      </w:r>
      <w:r>
        <w:rPr>
          <w:color w:val="231F20"/>
          <w:spacing w:val="-14"/>
        </w:rPr>
        <w:t> </w:t>
      </w:r>
      <w:r>
        <w:rPr>
          <w:color w:val="231F20"/>
        </w:rPr>
        <w:t>A.1.</w:t>
      </w:r>
      <w:r>
        <w:rPr>
          <w:color w:val="231F20"/>
          <w:spacing w:val="-11"/>
        </w:rPr>
        <w:t> </w:t>
      </w:r>
      <w:r>
        <w:rPr>
          <w:color w:val="231F20"/>
        </w:rPr>
        <w:t>Rząd</w:t>
      </w:r>
      <w:r>
        <w:rPr>
          <w:color w:val="231F20"/>
          <w:spacing w:val="-11"/>
        </w:rPr>
        <w:t> </w:t>
      </w:r>
      <w:r>
        <w:rPr>
          <w:color w:val="231F20"/>
        </w:rPr>
        <w:t>postawił</w:t>
      </w:r>
      <w:r>
        <w:rPr>
          <w:color w:val="231F20"/>
          <w:spacing w:val="-11"/>
        </w:rPr>
        <w:t> </w:t>
      </w:r>
      <w:r>
        <w:rPr>
          <w:color w:val="231F20"/>
        </w:rPr>
        <w:t>również</w:t>
      </w:r>
      <w:r>
        <w:rPr>
          <w:color w:val="231F20"/>
          <w:spacing w:val="-11"/>
        </w:rPr>
        <w:t> </w:t>
      </w:r>
      <w:r>
        <w:rPr>
          <w:color w:val="231F20"/>
        </w:rPr>
        <w:t>wymaganie,</w:t>
      </w:r>
      <w:r>
        <w:rPr>
          <w:color w:val="231F20"/>
          <w:spacing w:val="-11"/>
        </w:rPr>
        <w:t> </w:t>
      </w:r>
      <w:r>
        <w:rPr>
          <w:color w:val="231F20"/>
        </w:rPr>
        <w:t>aby</w:t>
      </w:r>
      <w:r>
        <w:rPr>
          <w:color w:val="231F20"/>
          <w:spacing w:val="-11"/>
        </w:rPr>
        <w:t> </w:t>
      </w:r>
      <w:r>
        <w:rPr>
          <w:color w:val="231F20"/>
        </w:rPr>
        <w:t>całe</w:t>
      </w:r>
      <w:r>
        <w:rPr>
          <w:color w:val="231F20"/>
          <w:spacing w:val="-11"/>
        </w:rPr>
        <w:t> </w:t>
      </w:r>
      <w:r>
        <w:rPr>
          <w:color w:val="231F20"/>
        </w:rPr>
        <w:t>wyposażenie </w:t>
      </w:r>
      <w:r>
        <w:rPr>
          <w:color w:val="231F20"/>
          <w:spacing w:val="-6"/>
        </w:rPr>
        <w:t>działających tam ambasad przenieść do nowych budynków, wraz z dużymi prostokątnymi biurkami i szafkami </w:t>
      </w:r>
      <w:r>
        <w:rPr>
          <w:color w:val="231F20"/>
          <w:w w:val="90"/>
        </w:rPr>
        <w:t>przeznaczonymi dla urzędników. Większość urzędników zajmowała jednoosobowe pokoje. Nie było tam żadnych dużych przestrzeni biurowych; w każdym pokoju pracowała obsługa składająca się nie więcej niż z czterech osób.</w:t>
      </w:r>
    </w:p>
    <w:p>
      <w:pPr>
        <w:pStyle w:val="BodyText"/>
        <w:spacing w:line="249" w:lineRule="auto" w:before="209"/>
        <w:ind w:left="142" w:right="706"/>
        <w:jc w:val="both"/>
      </w:pPr>
      <w:r>
        <w:rPr>
          <w:color w:val="231F20"/>
        </w:rPr>
        <w:t>Oferty każdego zespołu oceniano pod względem kosztów, układu przestrzennego budynku i jego walorów architektoniczno-użytkowych.</w:t>
      </w:r>
      <w:r>
        <w:rPr>
          <w:color w:val="231F20"/>
          <w:spacing w:val="-9"/>
        </w:rPr>
        <w:t> </w:t>
      </w:r>
      <w:r>
        <w:rPr>
          <w:color w:val="231F20"/>
        </w:rPr>
        <w:t>Ocena</w:t>
      </w:r>
      <w:r>
        <w:rPr>
          <w:color w:val="231F20"/>
          <w:spacing w:val="-9"/>
        </w:rPr>
        <w:t> </w:t>
      </w:r>
      <w:r>
        <w:rPr>
          <w:color w:val="231F20"/>
        </w:rPr>
        <w:t>wykazała,</w:t>
      </w:r>
      <w:r>
        <w:rPr>
          <w:color w:val="231F20"/>
          <w:spacing w:val="-9"/>
        </w:rPr>
        <w:t> </w:t>
      </w:r>
      <w:r>
        <w:rPr>
          <w:color w:val="231F20"/>
        </w:rPr>
        <w:t>że</w:t>
      </w:r>
      <w:r>
        <w:rPr>
          <w:color w:val="231F20"/>
          <w:spacing w:val="-9"/>
        </w:rPr>
        <w:t> </w:t>
      </w:r>
      <w:r>
        <w:rPr>
          <w:color w:val="231F20"/>
        </w:rPr>
        <w:t>wszystkie</w:t>
      </w:r>
      <w:r>
        <w:rPr>
          <w:color w:val="231F20"/>
          <w:spacing w:val="-9"/>
        </w:rPr>
        <w:t> </w:t>
      </w:r>
      <w:r>
        <w:rPr>
          <w:color w:val="231F20"/>
        </w:rPr>
        <w:t>trzy</w:t>
      </w:r>
      <w:r>
        <w:rPr>
          <w:color w:val="231F20"/>
          <w:spacing w:val="-9"/>
        </w:rPr>
        <w:t> </w:t>
      </w:r>
      <w:r>
        <w:rPr>
          <w:color w:val="231F20"/>
        </w:rPr>
        <w:t>oferty</w:t>
      </w:r>
      <w:r>
        <w:rPr>
          <w:color w:val="231F20"/>
          <w:spacing w:val="-9"/>
        </w:rPr>
        <w:t> </w:t>
      </w:r>
      <w:r>
        <w:rPr>
          <w:color w:val="231F20"/>
        </w:rPr>
        <w:t>mieściły</w:t>
      </w:r>
      <w:r>
        <w:rPr>
          <w:color w:val="231F20"/>
          <w:spacing w:val="-9"/>
        </w:rPr>
        <w:t> </w:t>
      </w:r>
      <w:r>
        <w:rPr>
          <w:color w:val="231F20"/>
        </w:rPr>
        <w:t>się</w:t>
      </w:r>
      <w:r>
        <w:rPr>
          <w:color w:val="231F20"/>
          <w:spacing w:val="-9"/>
        </w:rPr>
        <w:t> </w:t>
      </w:r>
      <w:r>
        <w:rPr>
          <w:color w:val="231F20"/>
        </w:rPr>
        <w:t>w</w:t>
      </w:r>
      <w:r>
        <w:rPr>
          <w:color w:val="231F20"/>
          <w:spacing w:val="-5"/>
        </w:rPr>
        <w:t> </w:t>
      </w:r>
      <w:r>
        <w:rPr>
          <w:color w:val="231F20"/>
        </w:rPr>
        <w:t>kosztach,</w:t>
      </w:r>
      <w:r>
        <w:rPr>
          <w:color w:val="231F20"/>
          <w:spacing w:val="-9"/>
        </w:rPr>
        <w:t> </w:t>
      </w:r>
      <w:r>
        <w:rPr>
          <w:color w:val="231F20"/>
        </w:rPr>
        <w:t>chociaż </w:t>
      </w:r>
      <w:r>
        <w:rPr>
          <w:color w:val="231F20"/>
          <w:spacing w:val="-2"/>
        </w:rPr>
        <w:t>jedna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z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nich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była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trochę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tańsza.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Wszystkie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spełniały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wymagania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zakresie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wielkości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nominalnej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powierzchni użytkowej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każdy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projekt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był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możliwy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zaakceptowania.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dwóch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projektach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przewidziano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siatkę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słupów </w:t>
      </w:r>
      <w:r>
        <w:rPr>
          <w:color w:val="231F20"/>
        </w:rPr>
        <w:t>prostokątnych,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w</w:t>
      </w:r>
      <w:r>
        <w:rPr>
          <w:color w:val="231F20"/>
          <w:spacing w:val="-14"/>
        </w:rPr>
        <w:t> </w:t>
      </w:r>
      <w:r>
        <w:rPr>
          <w:color w:val="231F20"/>
        </w:rPr>
        <w:t>trzecim,</w:t>
      </w:r>
      <w:r>
        <w:rPr>
          <w:color w:val="231F20"/>
          <w:spacing w:val="-14"/>
        </w:rPr>
        <w:t> </w:t>
      </w:r>
      <w:r>
        <w:rPr>
          <w:color w:val="231F20"/>
        </w:rPr>
        <w:t>ocenionym</w:t>
      </w:r>
      <w:r>
        <w:rPr>
          <w:color w:val="231F20"/>
          <w:spacing w:val="-14"/>
        </w:rPr>
        <w:t> </w:t>
      </w:r>
      <w:r>
        <w:rPr>
          <w:color w:val="231F20"/>
        </w:rPr>
        <w:t>jako</w:t>
      </w:r>
      <w:r>
        <w:rPr>
          <w:color w:val="231F20"/>
          <w:spacing w:val="-14"/>
        </w:rPr>
        <w:t> </w:t>
      </w:r>
      <w:r>
        <w:rPr>
          <w:color w:val="231F20"/>
        </w:rPr>
        <w:t>budynek</w:t>
      </w:r>
      <w:r>
        <w:rPr>
          <w:color w:val="231F20"/>
          <w:spacing w:val="-14"/>
        </w:rPr>
        <w:t> </w:t>
      </w:r>
      <w:r>
        <w:rPr>
          <w:color w:val="231F20"/>
        </w:rPr>
        <w:t>szczególnie</w:t>
      </w:r>
      <w:r>
        <w:rPr>
          <w:color w:val="231F20"/>
          <w:spacing w:val="-14"/>
        </w:rPr>
        <w:t> </w:t>
      </w:r>
      <w:r>
        <w:rPr>
          <w:color w:val="231F20"/>
        </w:rPr>
        <w:t>okazały,</w:t>
      </w:r>
      <w:r>
        <w:rPr>
          <w:color w:val="231F20"/>
          <w:spacing w:val="-14"/>
        </w:rPr>
        <w:t> </w:t>
      </w:r>
      <w:r>
        <w:rPr>
          <w:color w:val="231F20"/>
        </w:rPr>
        <w:t>zastosowano</w:t>
      </w:r>
      <w:r>
        <w:rPr>
          <w:color w:val="231F20"/>
          <w:spacing w:val="-13"/>
        </w:rPr>
        <w:t> </w:t>
      </w:r>
      <w:r>
        <w:rPr>
          <w:color w:val="231F20"/>
        </w:rPr>
        <w:t>zakrzywione</w:t>
      </w:r>
      <w:r>
        <w:rPr>
          <w:color w:val="231F20"/>
          <w:spacing w:val="-14"/>
        </w:rPr>
        <w:t> </w:t>
      </w:r>
      <w:r>
        <w:rPr>
          <w:color w:val="231F20"/>
        </w:rPr>
        <w:t>ściany i</w:t>
      </w:r>
      <w:r>
        <w:rPr>
          <w:color w:val="231F20"/>
          <w:spacing w:val="-12"/>
        </w:rPr>
        <w:t> </w:t>
      </w:r>
      <w:r>
        <w:rPr>
          <w:color w:val="231F20"/>
        </w:rPr>
        <w:t>korytarze,</w:t>
      </w:r>
      <w:r>
        <w:rPr>
          <w:color w:val="231F20"/>
          <w:spacing w:val="-12"/>
        </w:rPr>
        <w:t> </w:t>
      </w:r>
      <w:r>
        <w:rPr>
          <w:color w:val="231F20"/>
        </w:rPr>
        <w:t>atrakcyjne</w:t>
      </w:r>
      <w:r>
        <w:rPr>
          <w:color w:val="231F20"/>
          <w:spacing w:val="-11"/>
        </w:rPr>
        <w:t> </w:t>
      </w:r>
      <w:r>
        <w:rPr>
          <w:color w:val="231F20"/>
        </w:rPr>
        <w:t>pod</w:t>
      </w:r>
      <w:r>
        <w:rPr>
          <w:color w:val="231F20"/>
          <w:spacing w:val="-12"/>
        </w:rPr>
        <w:t> </w:t>
      </w:r>
      <w:r>
        <w:rPr>
          <w:color w:val="231F20"/>
        </w:rPr>
        <w:t>względem</w:t>
      </w:r>
      <w:r>
        <w:rPr>
          <w:color w:val="231F20"/>
          <w:spacing w:val="-11"/>
        </w:rPr>
        <w:t> </w:t>
      </w:r>
      <w:r>
        <w:rPr>
          <w:color w:val="231F20"/>
        </w:rPr>
        <w:t>układu</w:t>
      </w:r>
      <w:r>
        <w:rPr>
          <w:color w:val="231F20"/>
          <w:spacing w:val="-11"/>
        </w:rPr>
        <w:t> </w:t>
      </w:r>
      <w:r>
        <w:rPr>
          <w:color w:val="231F20"/>
        </w:rPr>
        <w:t>przestrzennego.</w:t>
      </w:r>
      <w:r>
        <w:rPr>
          <w:color w:val="231F20"/>
          <w:spacing w:val="-12"/>
        </w:rPr>
        <w:t> </w:t>
      </w:r>
      <w:r>
        <w:rPr>
          <w:color w:val="231F20"/>
        </w:rPr>
        <w:t>Ściany</w:t>
      </w:r>
      <w:r>
        <w:rPr>
          <w:color w:val="231F20"/>
          <w:spacing w:val="-11"/>
        </w:rPr>
        <w:t> </w:t>
      </w:r>
      <w:r>
        <w:rPr>
          <w:color w:val="231F20"/>
        </w:rPr>
        <w:t>połączono</w:t>
      </w:r>
      <w:r>
        <w:rPr>
          <w:color w:val="231F20"/>
          <w:spacing w:val="-11"/>
        </w:rPr>
        <w:t> </w:t>
      </w:r>
      <w:r>
        <w:rPr>
          <w:color w:val="231F20"/>
        </w:rPr>
        <w:t>ze</w:t>
      </w:r>
      <w:r>
        <w:rPr>
          <w:color w:val="231F20"/>
          <w:spacing w:val="-12"/>
        </w:rPr>
        <w:t> </w:t>
      </w:r>
      <w:r>
        <w:rPr>
          <w:color w:val="231F20"/>
        </w:rPr>
        <w:t>słupami</w:t>
      </w:r>
      <w:r>
        <w:rPr>
          <w:color w:val="231F20"/>
          <w:spacing w:val="-11"/>
        </w:rPr>
        <w:t> </w:t>
      </w:r>
      <w:r>
        <w:rPr>
          <w:color w:val="231F20"/>
        </w:rPr>
        <w:t>tak,</w:t>
      </w:r>
      <w:r>
        <w:rPr>
          <w:color w:val="231F20"/>
          <w:spacing w:val="-12"/>
        </w:rPr>
        <w:t> </w:t>
      </w:r>
      <w:r>
        <w:rPr>
          <w:color w:val="231F20"/>
        </w:rPr>
        <w:t>że</w:t>
      </w:r>
      <w:r>
        <w:rPr>
          <w:color w:val="231F20"/>
          <w:spacing w:val="-12"/>
        </w:rPr>
        <w:t> </w:t>
      </w:r>
      <w:r>
        <w:rPr>
          <w:color w:val="231F20"/>
        </w:rPr>
        <w:t>w</w:t>
      </w:r>
      <w:r>
        <w:rPr>
          <w:color w:val="231F20"/>
          <w:spacing w:val="-12"/>
        </w:rPr>
        <w:t> </w:t>
      </w:r>
      <w:r>
        <w:rPr>
          <w:color w:val="231F20"/>
        </w:rPr>
        <w:t>wielu pomieszczeniach biurowych pojawiły się pilastry (podobne do pokazanych na Rysunku 4 i Rysunku 6). Ten projekt</w:t>
      </w:r>
      <w:r>
        <w:rPr>
          <w:color w:val="231F20"/>
          <w:spacing w:val="-11"/>
        </w:rPr>
        <w:t> </w:t>
      </w:r>
      <w:r>
        <w:rPr>
          <w:color w:val="231F20"/>
        </w:rPr>
        <w:t>miał</w:t>
      </w:r>
      <w:r>
        <w:rPr>
          <w:color w:val="231F20"/>
          <w:spacing w:val="-11"/>
        </w:rPr>
        <w:t> </w:t>
      </w:r>
      <w:r>
        <w:rPr>
          <w:color w:val="231F20"/>
        </w:rPr>
        <w:t>znacznie</w:t>
      </w:r>
      <w:r>
        <w:rPr>
          <w:color w:val="231F20"/>
          <w:spacing w:val="-11"/>
        </w:rPr>
        <w:t> </w:t>
      </w:r>
      <w:r>
        <w:rPr>
          <w:color w:val="231F20"/>
        </w:rPr>
        <w:t>więcej</w:t>
      </w:r>
      <w:r>
        <w:rPr>
          <w:color w:val="231F20"/>
          <w:spacing w:val="-11"/>
        </w:rPr>
        <w:t> </w:t>
      </w:r>
      <w:r>
        <w:rPr>
          <w:color w:val="231F20"/>
        </w:rPr>
        <w:t>powierzchni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cechach</w:t>
      </w:r>
      <w:r>
        <w:rPr>
          <w:color w:val="231F20"/>
          <w:spacing w:val="-11"/>
        </w:rPr>
        <w:t> </w:t>
      </w:r>
      <w:r>
        <w:rPr>
          <w:color w:val="231F20"/>
        </w:rPr>
        <w:t>powierzchni</w:t>
      </w:r>
      <w:r>
        <w:rPr>
          <w:color w:val="231F20"/>
          <w:spacing w:val="-10"/>
        </w:rPr>
        <w:t> </w:t>
      </w:r>
      <w:r>
        <w:rPr>
          <w:color w:val="231F20"/>
        </w:rPr>
        <w:t>nieużytecznej</w:t>
      </w:r>
      <w:r>
        <w:rPr>
          <w:color w:val="231F20"/>
          <w:spacing w:val="-11"/>
        </w:rPr>
        <w:t> </w:t>
      </w:r>
      <w:r>
        <w:rPr>
          <w:color w:val="231F20"/>
        </w:rPr>
        <w:t>budynku</w:t>
      </w:r>
      <w:r>
        <w:rPr>
          <w:color w:val="231F20"/>
          <w:spacing w:val="-11"/>
        </w:rPr>
        <w:t> </w:t>
      </w:r>
      <w:r>
        <w:rPr>
          <w:color w:val="231F20"/>
        </w:rPr>
        <w:t>ze</w:t>
      </w:r>
      <w:r>
        <w:rPr>
          <w:color w:val="231F20"/>
          <w:spacing w:val="-11"/>
        </w:rPr>
        <w:t> </w:t>
      </w:r>
      <w:r>
        <w:rPr>
          <w:color w:val="231F20"/>
        </w:rPr>
        <w:t>względów</w:t>
      </w:r>
      <w:r>
        <w:rPr>
          <w:color w:val="231F20"/>
          <w:spacing w:val="-11"/>
        </w:rPr>
        <w:t> </w:t>
      </w:r>
      <w:r>
        <w:rPr>
          <w:color w:val="231F20"/>
        </w:rPr>
        <w:t>funk- </w:t>
      </w:r>
      <w:r>
        <w:rPr>
          <w:color w:val="231F20"/>
          <w:spacing w:val="-4"/>
        </w:rPr>
        <w:t>cjonalnych.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Aby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pomieścić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wszystkich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urzędników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przewidzianych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dla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nich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pokojach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biurowych,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należałoby zastąpić większość prostokątnych biurek meblami wbudowanymi lub specjalnie zaprojektowanymi, tak aby </w:t>
      </w:r>
      <w:r>
        <w:rPr>
          <w:color w:val="231F20"/>
          <w:spacing w:val="-2"/>
        </w:rPr>
        <w:t>były dopasowane funkcjonalnie do kształtu powierzchni użytkowej. Niestety, nie było dostatecznych środków </w:t>
      </w:r>
      <w:r>
        <w:rPr>
          <w:color w:val="231F20"/>
        </w:rPr>
        <w:t>finansowych</w:t>
      </w:r>
      <w:r>
        <w:rPr>
          <w:color w:val="231F20"/>
          <w:spacing w:val="-14"/>
        </w:rPr>
        <w:t> </w:t>
      </w:r>
      <w:r>
        <w:rPr>
          <w:color w:val="231F20"/>
        </w:rPr>
        <w:t>na</w:t>
      </w:r>
      <w:r>
        <w:rPr>
          <w:color w:val="231F20"/>
          <w:spacing w:val="-14"/>
        </w:rPr>
        <w:t> </w:t>
      </w:r>
      <w:r>
        <w:rPr>
          <w:color w:val="231F20"/>
        </w:rPr>
        <w:t>pokrycie</w:t>
      </w:r>
      <w:r>
        <w:rPr>
          <w:color w:val="231F20"/>
          <w:spacing w:val="-14"/>
        </w:rPr>
        <w:t> </w:t>
      </w:r>
      <w:r>
        <w:rPr>
          <w:color w:val="231F20"/>
        </w:rPr>
        <w:t>dodatkowych</w:t>
      </w:r>
      <w:r>
        <w:rPr>
          <w:color w:val="231F20"/>
          <w:spacing w:val="-14"/>
        </w:rPr>
        <w:t> </w:t>
      </w:r>
      <w:r>
        <w:rPr>
          <w:color w:val="231F20"/>
        </w:rPr>
        <w:t>kosztów,</w:t>
      </w:r>
      <w:r>
        <w:rPr>
          <w:color w:val="231F20"/>
          <w:spacing w:val="-14"/>
        </w:rPr>
        <w:t> </w:t>
      </w:r>
      <w:r>
        <w:rPr>
          <w:color w:val="231F20"/>
        </w:rPr>
        <w:t>więc</w:t>
      </w:r>
      <w:r>
        <w:rPr>
          <w:color w:val="231F20"/>
          <w:spacing w:val="-14"/>
        </w:rPr>
        <w:t> </w:t>
      </w:r>
      <w:r>
        <w:rPr>
          <w:color w:val="231F20"/>
        </w:rPr>
        <w:t>zgłoszona</w:t>
      </w:r>
      <w:r>
        <w:rPr>
          <w:color w:val="231F20"/>
          <w:spacing w:val="-14"/>
        </w:rPr>
        <w:t> </w:t>
      </w:r>
      <w:r>
        <w:rPr>
          <w:color w:val="231F20"/>
        </w:rPr>
        <w:t>oferta</w:t>
      </w:r>
      <w:r>
        <w:rPr>
          <w:color w:val="231F20"/>
          <w:spacing w:val="-14"/>
        </w:rPr>
        <w:t> </w:t>
      </w:r>
      <w:r>
        <w:rPr>
          <w:color w:val="231F20"/>
        </w:rPr>
        <w:t>nie</w:t>
      </w:r>
      <w:r>
        <w:rPr>
          <w:color w:val="231F20"/>
          <w:spacing w:val="-14"/>
        </w:rPr>
        <w:t> </w:t>
      </w:r>
      <w:r>
        <w:rPr>
          <w:color w:val="231F20"/>
        </w:rPr>
        <w:t>mogła</w:t>
      </w:r>
      <w:r>
        <w:rPr>
          <w:color w:val="231F20"/>
          <w:spacing w:val="-13"/>
        </w:rPr>
        <w:t> </w:t>
      </w:r>
      <w:r>
        <w:rPr>
          <w:color w:val="231F20"/>
        </w:rPr>
        <w:t>zostać</w:t>
      </w:r>
      <w:r>
        <w:rPr>
          <w:color w:val="231F20"/>
          <w:spacing w:val="-14"/>
        </w:rPr>
        <w:t> </w:t>
      </w:r>
      <w:r>
        <w:rPr>
          <w:color w:val="231F20"/>
        </w:rPr>
        <w:t>przyjęta.</w:t>
      </w:r>
    </w:p>
    <w:p>
      <w:pPr>
        <w:pStyle w:val="BodyText"/>
        <w:spacing w:after="0" w:line="249" w:lineRule="auto"/>
        <w:jc w:val="both"/>
        <w:sectPr>
          <w:pgSz w:w="11910" w:h="16840"/>
          <w:pgMar w:header="0" w:footer="512" w:top="1240" w:bottom="700" w:left="708" w:right="708"/>
        </w:sectPr>
      </w:pPr>
    </w:p>
    <w:p>
      <w:pPr>
        <w:pStyle w:val="Heading2"/>
        <w:spacing w:before="220"/>
        <w:ind w:left="566"/>
        <w:jc w:val="center"/>
      </w:pPr>
      <w:bookmarkStart w:name="Bibliografia" w:id="56"/>
      <w:bookmarkEnd w:id="56"/>
      <w:r>
        <w:rPr>
          <w:b w:val="0"/>
        </w:rPr>
      </w:r>
      <w:bookmarkStart w:name="_bookmark16" w:id="57"/>
      <w:bookmarkEnd w:id="57"/>
      <w:r>
        <w:rPr>
          <w:b w:val="0"/>
        </w:rPr>
      </w:r>
      <w:r>
        <w:rPr>
          <w:color w:val="231F20"/>
          <w:spacing w:val="-2"/>
        </w:rPr>
        <w:t>Bibliografia</w:t>
      </w:r>
    </w:p>
    <w:p>
      <w:pPr>
        <w:pStyle w:val="BodyText"/>
        <w:spacing w:before="236"/>
        <w:rPr>
          <w:rFonts w:ascii="Arial"/>
          <w:b/>
          <w:sz w:val="24"/>
        </w:rPr>
      </w:pPr>
    </w:p>
    <w:p>
      <w:pPr>
        <w:pStyle w:val="ListParagraph"/>
        <w:numPr>
          <w:ilvl w:val="0"/>
          <w:numId w:val="35"/>
        </w:numPr>
        <w:tabs>
          <w:tab w:pos="1162" w:val="left" w:leader="none"/>
        </w:tabs>
        <w:spacing w:line="240" w:lineRule="auto" w:before="0" w:after="0"/>
        <w:ind w:left="1162" w:right="0" w:hanging="453"/>
        <w:jc w:val="left"/>
        <w:rPr>
          <w:rFonts w:ascii="Arial"/>
          <w:i/>
          <w:sz w:val="20"/>
        </w:rPr>
      </w:pPr>
      <w:r>
        <w:rPr>
          <w:color w:val="231F20"/>
          <w:sz w:val="20"/>
        </w:rPr>
        <w:t>ISO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19208:2016,</w:t>
      </w:r>
      <w:r>
        <w:rPr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Framework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for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specifying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performance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in</w:t>
      </w:r>
      <w:r>
        <w:rPr>
          <w:rFonts w:ascii="Arial"/>
          <w:i/>
          <w:color w:val="231F20"/>
          <w:spacing w:val="-2"/>
          <w:sz w:val="20"/>
        </w:rPr>
        <w:t> buildings</w:t>
      </w:r>
    </w:p>
    <w:p>
      <w:pPr>
        <w:pStyle w:val="BodyText"/>
        <w:spacing w:before="7"/>
        <w:rPr>
          <w:rFonts w:ascii="Arial"/>
          <w:i/>
        </w:rPr>
      </w:pPr>
    </w:p>
    <w:p>
      <w:pPr>
        <w:pStyle w:val="ListParagraph"/>
        <w:numPr>
          <w:ilvl w:val="0"/>
          <w:numId w:val="35"/>
        </w:numPr>
        <w:tabs>
          <w:tab w:pos="1162" w:val="left" w:leader="none"/>
        </w:tabs>
        <w:spacing w:line="240" w:lineRule="auto" w:before="0" w:after="0"/>
        <w:ind w:left="1162" w:right="0" w:hanging="453"/>
        <w:jc w:val="left"/>
        <w:rPr>
          <w:rFonts w:ascii="Arial"/>
          <w:i/>
          <w:sz w:val="20"/>
        </w:rPr>
      </w:pPr>
      <w:r>
        <w:rPr>
          <w:color w:val="231F20"/>
          <w:sz w:val="20"/>
        </w:rPr>
        <w:t>ASTM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E1836-08,</w:t>
      </w:r>
      <w:r>
        <w:rPr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Standard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Practice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for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Building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Floor</w:t>
      </w:r>
      <w:r>
        <w:rPr>
          <w:rFonts w:ascii="Arial"/>
          <w:i/>
          <w:color w:val="231F20"/>
          <w:spacing w:val="-10"/>
          <w:sz w:val="20"/>
        </w:rPr>
        <w:t> </w:t>
      </w:r>
      <w:r>
        <w:rPr>
          <w:rFonts w:ascii="Arial"/>
          <w:i/>
          <w:color w:val="231F20"/>
          <w:sz w:val="20"/>
        </w:rPr>
        <w:t>Area</w:t>
      </w:r>
      <w:r>
        <w:rPr>
          <w:rFonts w:ascii="Arial"/>
          <w:i/>
          <w:color w:val="231F20"/>
          <w:spacing w:val="-3"/>
          <w:sz w:val="20"/>
        </w:rPr>
        <w:t> </w:t>
      </w:r>
      <w:r>
        <w:rPr>
          <w:rFonts w:ascii="Arial"/>
          <w:i/>
          <w:color w:val="231F20"/>
          <w:sz w:val="20"/>
        </w:rPr>
        <w:t>Measurements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for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Facility</w:t>
      </w:r>
      <w:r>
        <w:rPr>
          <w:rFonts w:ascii="Arial"/>
          <w:i/>
          <w:color w:val="231F20"/>
          <w:spacing w:val="-2"/>
          <w:sz w:val="20"/>
        </w:rPr>
        <w:t> Management</w:t>
      </w:r>
    </w:p>
    <w:p>
      <w:pPr>
        <w:pStyle w:val="BodyText"/>
        <w:spacing w:before="6"/>
        <w:rPr>
          <w:rFonts w:ascii="Arial"/>
          <w:i/>
        </w:rPr>
      </w:pPr>
    </w:p>
    <w:p>
      <w:pPr>
        <w:pStyle w:val="ListParagraph"/>
        <w:numPr>
          <w:ilvl w:val="0"/>
          <w:numId w:val="35"/>
        </w:numPr>
        <w:tabs>
          <w:tab w:pos="1162" w:val="left" w:leader="none"/>
        </w:tabs>
        <w:spacing w:line="249" w:lineRule="auto" w:before="1" w:after="0"/>
        <w:ind w:left="1162" w:right="141" w:hanging="454"/>
        <w:jc w:val="left"/>
        <w:rPr>
          <w:rFonts w:ascii="Arial"/>
          <w:i/>
          <w:sz w:val="20"/>
        </w:rPr>
      </w:pPr>
      <w:r>
        <w:rPr>
          <w:color w:val="231F20"/>
          <w:sz w:val="20"/>
        </w:rPr>
        <w:t>ASTM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E2619-08,</w:t>
      </w:r>
      <w:r>
        <w:rPr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Standard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Practice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for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Measuring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and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Calculating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Building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Loss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Features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That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Take</w:t>
      </w:r>
      <w:r>
        <w:rPr>
          <w:rFonts w:ascii="Arial"/>
          <w:i/>
          <w:color w:val="231F20"/>
          <w:spacing w:val="-8"/>
          <w:sz w:val="20"/>
        </w:rPr>
        <w:t> </w:t>
      </w:r>
      <w:r>
        <w:rPr>
          <w:rFonts w:ascii="Arial"/>
          <w:i/>
          <w:color w:val="231F20"/>
          <w:sz w:val="20"/>
        </w:rPr>
        <w:t>Up Floor Area in Buildings</w:t>
      </w:r>
    </w:p>
    <w:p>
      <w:pPr>
        <w:pStyle w:val="ListParagraph"/>
        <w:numPr>
          <w:ilvl w:val="0"/>
          <w:numId w:val="35"/>
        </w:numPr>
        <w:tabs>
          <w:tab w:pos="1162" w:val="left" w:leader="none"/>
        </w:tabs>
        <w:spacing w:line="240" w:lineRule="auto" w:before="228" w:after="0"/>
        <w:ind w:left="1162" w:right="0" w:hanging="453"/>
        <w:jc w:val="left"/>
        <w:rPr>
          <w:rFonts w:ascii="Arial"/>
          <w:i/>
          <w:sz w:val="20"/>
        </w:rPr>
      </w:pPr>
      <w:r>
        <w:rPr>
          <w:color w:val="231F20"/>
          <w:sz w:val="20"/>
        </w:rPr>
        <w:t>CEEC</w:t>
      </w:r>
      <w:r>
        <w:rPr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Code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of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Measurement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Practice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for</w:t>
      </w:r>
      <w:r>
        <w:rPr>
          <w:rFonts w:ascii="Arial"/>
          <w:i/>
          <w:color w:val="231F20"/>
          <w:spacing w:val="-2"/>
          <w:sz w:val="20"/>
        </w:rPr>
        <w:t> </w:t>
      </w:r>
      <w:r>
        <w:rPr>
          <w:rFonts w:ascii="Arial"/>
          <w:i/>
          <w:color w:val="231F20"/>
          <w:sz w:val="20"/>
        </w:rPr>
        <w:t>Cost</w:t>
      </w:r>
      <w:r>
        <w:rPr>
          <w:rFonts w:ascii="Arial"/>
          <w:i/>
          <w:color w:val="231F20"/>
          <w:spacing w:val="-1"/>
          <w:sz w:val="20"/>
        </w:rPr>
        <w:t> </w:t>
      </w:r>
      <w:r>
        <w:rPr>
          <w:rFonts w:ascii="Arial"/>
          <w:i/>
          <w:color w:val="231F20"/>
          <w:spacing w:val="-2"/>
          <w:sz w:val="20"/>
        </w:rPr>
        <w:t>Planning</w:t>
      </w:r>
    </w:p>
    <w:p>
      <w:pPr>
        <w:pStyle w:val="ListParagraph"/>
        <w:spacing w:after="0" w:line="240" w:lineRule="auto"/>
        <w:jc w:val="left"/>
        <w:rPr>
          <w:rFonts w:ascii="Arial"/>
          <w:i/>
          <w:sz w:val="20"/>
        </w:rPr>
        <w:sectPr>
          <w:pgSz w:w="11910" w:h="16840"/>
          <w:pgMar w:header="0" w:footer="512" w:top="1240" w:bottom="700" w:left="708" w:right="708"/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93"/>
        <w:rPr>
          <w:rFonts w:ascii="Arial"/>
          <w:i/>
        </w:rPr>
      </w:pPr>
    </w:p>
    <w:p>
      <w:pPr>
        <w:pStyle w:val="Heading4"/>
        <w:spacing w:before="1"/>
        <w:ind w:left="32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2340000</wp:posOffset>
                </wp:positionH>
                <wp:positionV relativeFrom="paragraph">
                  <wp:posOffset>-8225927</wp:posOffset>
                </wp:positionV>
                <wp:extent cx="1270" cy="918019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1270" cy="9180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180195">
                              <a:moveTo>
                                <a:pt x="0" y="9180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184.251999pt,75.124185pt" to="184.251999pt,-647.710815pt" stroked="true" strokeweight="1pt" strokecolor="#231f20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564384</wp:posOffset>
            </wp:positionH>
            <wp:positionV relativeFrom="paragraph">
              <wp:posOffset>231953</wp:posOffset>
            </wp:positionV>
            <wp:extent cx="1609347" cy="728473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7" cy="72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ISBN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978-83-8285-844-</w:t>
      </w:r>
      <w:r>
        <w:rPr>
          <w:color w:val="231F20"/>
          <w:spacing w:val="-10"/>
        </w:rPr>
        <w:t>0</w:t>
      </w:r>
    </w:p>
    <w:p>
      <w:pPr>
        <w:pStyle w:val="BodyText"/>
        <w:spacing w:before="9"/>
        <w:rPr>
          <w:rFonts w:ascii="Arial"/>
          <w:b/>
          <w:sz w:val="14"/>
        </w:rPr>
      </w:pPr>
      <w:r>
        <w:rPr>
          <w:rFonts w:ascii="Arial"/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2520000</wp:posOffset>
                </wp:positionH>
                <wp:positionV relativeFrom="paragraph">
                  <wp:posOffset>123404</wp:posOffset>
                </wp:positionV>
                <wp:extent cx="4140200" cy="127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414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200" h="0">
                              <a:moveTo>
                                <a:pt x="0" y="0"/>
                              </a:moveTo>
                              <a:lnTo>
                                <a:pt x="413999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425201pt;margin-top:9.716875pt;width:326pt;height:.1pt;mso-position-horizontal-relative:page;mso-position-vertical-relative:paragraph;z-index:-15717376;mso-wrap-distance-left:0;mso-wrap-distance-right:0" id="docshape23" coordorigin="3969,194" coordsize="6520,0" path="m3969,194l10488,194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77"/>
        <w:ind w:left="3260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Polski Komitet </w:t>
      </w:r>
      <w:r>
        <w:rPr>
          <w:rFonts w:ascii="Arial"/>
          <w:b/>
          <w:color w:val="231F20"/>
          <w:spacing w:val="-2"/>
          <w:sz w:val="20"/>
        </w:rPr>
        <w:t>Normalizacyjny</w:t>
      </w:r>
    </w:p>
    <w:p>
      <w:pPr>
        <w:pStyle w:val="BodyText"/>
        <w:spacing w:line="249" w:lineRule="auto" w:before="10"/>
        <w:ind w:left="3260" w:right="3684"/>
      </w:pPr>
      <w:r>
        <w:rPr>
          <w:color w:val="231F20"/>
          <w:spacing w:val="-4"/>
        </w:rPr>
        <w:t>ul.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Świętokrzyska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14,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00-050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Warszawa </w:t>
      </w:r>
      <w:hyperlink r:id="rId10">
        <w:r>
          <w:rPr>
            <w:color w:val="0000FF"/>
            <w:spacing w:val="-2"/>
            <w:u w:val="single" w:color="0000FF"/>
          </w:rPr>
          <w:t>http://www.pkn.pl</w:t>
        </w:r>
      </w:hyperlink>
    </w:p>
    <w:p>
      <w:pPr>
        <w:pStyle w:val="BodyText"/>
        <w:spacing w:before="9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2520000</wp:posOffset>
                </wp:positionH>
                <wp:positionV relativeFrom="paragraph">
                  <wp:posOffset>108577</wp:posOffset>
                </wp:positionV>
                <wp:extent cx="4140200" cy="1270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414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200" h="0">
                              <a:moveTo>
                                <a:pt x="0" y="0"/>
                              </a:moveTo>
                              <a:lnTo>
                                <a:pt x="413999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425201pt;margin-top:8.549414pt;width:326pt;height:.1pt;mso-position-horizontal-relative:page;mso-position-vertical-relative:paragraph;z-index:-15716864;mso-wrap-distance-left:0;mso-wrap-distance-right:0" id="docshape24" coordorigin="3969,171" coordsize="6520,0" path="m3969,171l10488,171e" filled="false" stroked="true" strokeweight="1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sectPr>
      <w:headerReference w:type="even" r:id="rId36"/>
      <w:footerReference w:type="even" r:id="rId37"/>
      <w:pgSz w:w="11910" w:h="16840"/>
      <w:pgMar w:header="10" w:footer="0" w:top="20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1904">
              <wp:simplePos x="0" y="0"/>
              <wp:positionH relativeFrom="page">
                <wp:posOffset>501672</wp:posOffset>
              </wp:positionH>
              <wp:positionV relativeFrom="page">
                <wp:posOffset>10227043</wp:posOffset>
              </wp:positionV>
              <wp:extent cx="153035" cy="15367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.501801pt;margin-top:805.279053pt;width:12.05pt;height:12.1pt;mso-position-horizontal-relative:page;mso-position-vertical-relative:page;z-index:-16344576" type="#_x0000_t202" id="docshape7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2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2416">
              <wp:simplePos x="0" y="0"/>
              <wp:positionH relativeFrom="page">
                <wp:posOffset>6880618</wp:posOffset>
              </wp:positionH>
              <wp:positionV relativeFrom="page">
                <wp:posOffset>10227043</wp:posOffset>
              </wp:positionV>
              <wp:extent cx="191135" cy="153670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911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13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781006pt;margin-top:805.279053pt;width:15.05pt;height:12.1pt;mso-position-horizontal-relative:page;mso-position-vertical-relative:page;z-index:-16344064" type="#_x0000_t202" id="docshape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13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4976">
              <wp:simplePos x="0" y="0"/>
              <wp:positionH relativeFrom="page">
                <wp:posOffset>501672</wp:posOffset>
              </wp:positionH>
              <wp:positionV relativeFrom="page">
                <wp:posOffset>10227043</wp:posOffset>
              </wp:positionV>
              <wp:extent cx="178435" cy="15367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84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.501801pt;margin-top:805.279053pt;width:14.05pt;height:12.1pt;mso-position-horizontal-relative:page;mso-position-vertical-relative:page;z-index:-16341504" type="#_x0000_t202" id="docshape15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10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5488">
              <wp:simplePos x="0" y="0"/>
              <wp:positionH relativeFrom="page">
                <wp:posOffset>6918786</wp:posOffset>
              </wp:positionH>
              <wp:positionV relativeFrom="page">
                <wp:posOffset>10227043</wp:posOffset>
              </wp:positionV>
              <wp:extent cx="153035" cy="15367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t>5</w:t>
                          </w:r>
                          <w:r>
                            <w:rPr>
                              <w:color w:val="231F2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786377pt;margin-top:805.279053pt;width:12.05pt;height:12.1pt;mso-position-horizontal-relative:page;mso-position-vertical-relative:page;z-index:-16340992" type="#_x0000_t202" id="docshape16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5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0880">
              <wp:simplePos x="0" y="0"/>
              <wp:positionH relativeFrom="page">
                <wp:posOffset>553801</wp:posOffset>
              </wp:positionH>
              <wp:positionV relativeFrom="page">
                <wp:posOffset>21110</wp:posOffset>
              </wp:positionV>
              <wp:extent cx="6456680" cy="12509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645668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Licencja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Polskiego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Komitetu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Normalizacyjnego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dla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KPS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VENTURES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SPÓŁKA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Z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OGRANICZONĄ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ODPOWIEDZIALNOŚCIĄ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(2025-12-18).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Bez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prawa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5"/>
                              <w:sz w:val="14"/>
                            </w:rPr>
                            <w:t>odsprzedaży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.606407pt;margin-top:1.662214pt;width:508.4pt;height:9.85pt;mso-position-horizontal-relative:page;mso-position-vertical-relative:page;z-index:-16345600" type="#_x0000_t202" id="docshape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0000"/>
                        <w:spacing w:val="-2"/>
                        <w:sz w:val="14"/>
                      </w:rPr>
                      <w:t>Licencja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Polskiego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Komitetu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Normalizacyjnego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dla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KPS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VENTURES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SPÓŁKA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Z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OGRANICZONĄ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ODPOWIEDZIALNOŚCIĄ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(2025-12-18).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Bez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prawa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5"/>
                        <w:sz w:val="14"/>
                      </w:rPr>
                      <w:t>odsprzedaży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1392">
              <wp:simplePos x="0" y="0"/>
              <wp:positionH relativeFrom="page">
                <wp:posOffset>553801</wp:posOffset>
              </wp:positionH>
              <wp:positionV relativeFrom="page">
                <wp:posOffset>21110</wp:posOffset>
              </wp:positionV>
              <wp:extent cx="6456680" cy="12509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645668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Licencja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Polskiego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Komitetu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Normalizacyjnego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dla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KPS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VENTURES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SPÓŁKA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Z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OGRANICZONĄ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ODPOWIEDZIALNOŚCIĄ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(2025-12-18).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Bez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prawa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5"/>
                              <w:sz w:val="14"/>
                            </w:rPr>
                            <w:t>odsprzedaży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606407pt;margin-top:1.662214pt;width:508.4pt;height:9.85pt;mso-position-horizontal-relative:page;mso-position-vertical-relative:page;z-index:-16345088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0000"/>
                        <w:spacing w:val="-2"/>
                        <w:sz w:val="14"/>
                      </w:rPr>
                      <w:t>Licencja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Polskiego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Komitetu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Normalizacyjnego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dla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KPS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VENTURES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SPÓŁKA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Z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OGRANICZONĄ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ODPOWIEDZIALNOŚCIĄ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(2025-12-18).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Bez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prawa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5"/>
                        <w:sz w:val="14"/>
                      </w:rPr>
                      <w:t>odsprzedaży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2928">
              <wp:simplePos x="0" y="0"/>
              <wp:positionH relativeFrom="page">
                <wp:posOffset>553801</wp:posOffset>
              </wp:positionH>
              <wp:positionV relativeFrom="page">
                <wp:posOffset>21110</wp:posOffset>
              </wp:positionV>
              <wp:extent cx="6456680" cy="12509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645668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Licencja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Polskiego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Komitetu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Normalizacyjnego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dla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KPS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VENTURES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SPÓŁKA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Z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OGRANICZONĄ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ODPOWIEDZIALNOŚCIĄ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(2025-12-18).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Bez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prawa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5"/>
                              <w:sz w:val="14"/>
                            </w:rPr>
                            <w:t>odsprzedaży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606407pt;margin-top:1.662214pt;width:508.4pt;height:9.85pt;mso-position-horizontal-relative:page;mso-position-vertical-relative:page;z-index:-16343552" type="#_x0000_t202" id="docshape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0000"/>
                        <w:spacing w:val="-2"/>
                        <w:sz w:val="14"/>
                      </w:rPr>
                      <w:t>Licencja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Polskiego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Komitetu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Normalizacyjnego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dla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KPS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VENTURES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SPÓŁKA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Z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OGRANICZONĄ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ODPOWIEDZIALNOŚCIĄ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(2025-12-18).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Bez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prawa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5"/>
                        <w:sz w:val="14"/>
                      </w:rPr>
                      <w:t>odsprzedaży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3440">
              <wp:simplePos x="0" y="0"/>
              <wp:positionH relativeFrom="page">
                <wp:posOffset>5869993</wp:posOffset>
              </wp:positionH>
              <wp:positionV relativeFrom="page">
                <wp:posOffset>659643</wp:posOffset>
              </wp:positionV>
              <wp:extent cx="1162685" cy="15367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1162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>PN-ISO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>9836:2022-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8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2.204193pt;margin-top:51.940453pt;width:91.55pt;height:12.1pt;mso-position-horizontal-relative:page;mso-position-vertical-relative:page;z-index:-16343040" type="#_x0000_t202" id="docshape1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PN-ISO</w:t>
                    </w:r>
                    <w:r>
                      <w:rPr>
                        <w:rFonts w:ascii="Arial"/>
                        <w:b/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9836:2022-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8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3952">
              <wp:simplePos x="0" y="0"/>
              <wp:positionH relativeFrom="page">
                <wp:posOffset>553801</wp:posOffset>
              </wp:positionH>
              <wp:positionV relativeFrom="page">
                <wp:posOffset>21110</wp:posOffset>
              </wp:positionV>
              <wp:extent cx="6456680" cy="12509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645668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Licencja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Polskiego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Komitetu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Normalizacyjnego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dla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KPS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VENTURES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SPÓŁKA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Z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OGRANICZONĄ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ODPOWIEDZIALNOŚCIĄ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(2025-12-18).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Bez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prawa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5"/>
                              <w:sz w:val="14"/>
                            </w:rPr>
                            <w:t>odsprzedaży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606407pt;margin-top:1.662214pt;width:508.4pt;height:9.85pt;mso-position-horizontal-relative:page;mso-position-vertical-relative:page;z-index:-16342528" type="#_x0000_t202" id="docshape1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0000"/>
                        <w:spacing w:val="-2"/>
                        <w:sz w:val="14"/>
                      </w:rPr>
                      <w:t>Licencja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Polskiego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Komitetu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Normalizacyjnego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dla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KPS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VENTURES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SPÓŁKA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Z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OGRANICZONĄ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ODPOWIEDZIALNOŚCIĄ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(2025-12-18).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Bez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prawa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5"/>
                        <w:sz w:val="14"/>
                      </w:rPr>
                      <w:t>odsprzedaży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4464">
              <wp:simplePos x="0" y="0"/>
              <wp:positionH relativeFrom="page">
                <wp:posOffset>527300</wp:posOffset>
              </wp:positionH>
              <wp:positionV relativeFrom="page">
                <wp:posOffset>659643</wp:posOffset>
              </wp:positionV>
              <wp:extent cx="1162685" cy="15367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1626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>PN-ISO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>9836:2022-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8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519699pt;margin-top:51.940453pt;width:91.55pt;height:12.1pt;mso-position-horizontal-relative:page;mso-position-vertical-relative:page;z-index:-16342016" type="#_x0000_t202" id="docshape1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PN-ISO</w:t>
                    </w:r>
                    <w:r>
                      <w:rPr>
                        <w:rFonts w:ascii="Arial"/>
                        <w:b/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>9836:2022-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18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6000">
              <wp:simplePos x="0" y="0"/>
              <wp:positionH relativeFrom="page">
                <wp:posOffset>553801</wp:posOffset>
              </wp:positionH>
              <wp:positionV relativeFrom="page">
                <wp:posOffset>21110</wp:posOffset>
              </wp:positionV>
              <wp:extent cx="6456680" cy="125095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645668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Licencja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Polskiego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Komitetu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Normalizacyjnego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dla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KPS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VENTURES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SPÓŁKA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Z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OGRANICZONĄ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ODPOWIEDZIALNOŚCIĄ</w:t>
                          </w:r>
                          <w:r>
                            <w:rPr>
                              <w:color w:val="FF0000"/>
                              <w:spacing w:val="4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(2025-12-18).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Bez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2"/>
                              <w:sz w:val="14"/>
                            </w:rPr>
                            <w:t>prawa</w:t>
                          </w:r>
                          <w:r>
                            <w:rPr>
                              <w:color w:val="FF0000"/>
                              <w:spacing w:val="5"/>
                              <w:sz w:val="14"/>
                            </w:rPr>
                            <w:t> </w:t>
                          </w:r>
                          <w:r>
                            <w:rPr>
                              <w:color w:val="FF0000"/>
                              <w:spacing w:val="-5"/>
                              <w:sz w:val="14"/>
                            </w:rPr>
                            <w:t>odsprzedaży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606407pt;margin-top:1.662214pt;width:508.4pt;height:9.85pt;mso-position-horizontal-relative:page;mso-position-vertical-relative:page;z-index:-16340480" type="#_x0000_t202" id="docshape2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0000"/>
                        <w:spacing w:val="-2"/>
                        <w:sz w:val="14"/>
                      </w:rPr>
                      <w:t>Licencja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Polskiego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Komitetu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Normalizacyjnego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dla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KPS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VENTURES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SPÓŁKA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Z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OGRANICZONĄ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ODPOWIEDZIALNOŚCIĄ</w:t>
                    </w:r>
                    <w:r>
                      <w:rPr>
                        <w:color w:val="FF0000"/>
                        <w:spacing w:val="4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(2025-12-18).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Bez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2"/>
                        <w:sz w:val="14"/>
                      </w:rPr>
                      <w:t>prawa</w:t>
                    </w:r>
                    <w:r>
                      <w:rPr>
                        <w:color w:val="FF0000"/>
                        <w:spacing w:val="5"/>
                        <w:sz w:val="14"/>
                      </w:rPr>
                      <w:t> </w:t>
                    </w:r>
                    <w:r>
                      <w:rPr>
                        <w:color w:val="FF0000"/>
                        <w:spacing w:val="-5"/>
                        <w:sz w:val="14"/>
                      </w:rPr>
                      <w:t>odsprzedaży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decimal"/>
      <w:lvlText w:val="[%1]"/>
      <w:lvlJc w:val="left"/>
      <w:pPr>
        <w:ind w:left="1162" w:hanging="45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092" w:hanging="454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025" w:hanging="454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958" w:hanging="454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91" w:hanging="454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824" w:hanging="454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57" w:hanging="454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90" w:hanging="454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623" w:hanging="454"/>
      </w:pPr>
      <w:rPr>
        <w:rFonts w:hint="default"/>
        <w:lang w:val="pl-PL" w:eastAsia="en-US" w:bidi="ar-SA"/>
      </w:rPr>
    </w:lvl>
  </w:abstractNum>
  <w:abstractNum w:abstractNumId="33">
    <w:multiLevelType w:val="hybridMultilevel"/>
    <w:lvl w:ilvl="0">
      <w:start w:val="1"/>
      <w:numFmt w:val="upperLetter"/>
      <w:lvlText w:val="%1"/>
      <w:lvlJc w:val="left"/>
      <w:pPr>
        <w:ind w:left="142" w:hanging="511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42" w:hanging="511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24"/>
        <w:szCs w:val="24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209" w:hanging="51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244" w:hanging="51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279" w:hanging="51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314" w:hanging="51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349" w:hanging="51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384" w:hanging="51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419" w:hanging="511"/>
      </w:pPr>
      <w:rPr>
        <w:rFonts w:hint="default"/>
        <w:lang w:val="pl-PL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–"/>
      <w:lvlJc w:val="left"/>
      <w:pPr>
        <w:ind w:left="1049" w:hanging="341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84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48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1"/>
      <w:numFmt w:val="decimal"/>
      <w:lvlText w:val="%2)"/>
      <w:lvlJc w:val="left"/>
      <w:pPr>
        <w:ind w:left="82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894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2968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04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117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191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26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340" w:hanging="341"/>
      </w:pPr>
      <w:rPr>
        <w:rFonts w:hint="default"/>
        <w:lang w:val="pl-PL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1"/>
      <w:numFmt w:val="decimal"/>
      <w:lvlText w:val="%2)"/>
      <w:lvlJc w:val="left"/>
      <w:pPr>
        <w:ind w:left="138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2">
      <w:start w:val="1"/>
      <w:numFmt w:val="lowerRoman"/>
      <w:lvlText w:val="%3)"/>
      <w:lvlJc w:val="left"/>
      <w:pPr>
        <w:ind w:left="172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3">
      <w:start w:val="0"/>
      <w:numFmt w:val="bullet"/>
      <w:lvlText w:val="•"/>
      <w:lvlJc w:val="left"/>
      <w:pPr>
        <w:ind w:left="2816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3912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008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104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200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297" w:hanging="341"/>
      </w:pPr>
      <w:rPr>
        <w:rFonts w:hint="default"/>
        <w:lang w:val="pl-PL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48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80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81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82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8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8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85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48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487" w:hanging="341"/>
      </w:pPr>
      <w:rPr>
        <w:rFonts w:hint="default"/>
        <w:lang w:val="pl-PL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48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80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81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82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8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8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85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48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487" w:hanging="341"/>
      </w:pPr>
      <w:rPr>
        <w:rFonts w:hint="default"/>
        <w:lang w:val="pl-PL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1049" w:hanging="341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-1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84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84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48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80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81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82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8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8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85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48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487" w:hanging="341"/>
      </w:pPr>
      <w:rPr>
        <w:rFonts w:hint="default"/>
        <w:lang w:val="pl-PL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48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1"/>
      <w:numFmt w:val="decimal"/>
      <w:lvlText w:val="%2)"/>
      <w:lvlJc w:val="left"/>
      <w:pPr>
        <w:ind w:left="82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894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2968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04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117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191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26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340" w:hanging="341"/>
      </w:pPr>
      <w:rPr>
        <w:rFonts w:hint="default"/>
        <w:lang w:val="pl-PL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84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1"/>
      <w:numFmt w:val="lowerRoman"/>
      <w:lvlText w:val="%2)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48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80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81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82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8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8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85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48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487" w:hanging="341"/>
      </w:pPr>
      <w:rPr>
        <w:rFonts w:hint="default"/>
        <w:lang w:val="pl-PL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"/>
      <w:lvlJc w:val="left"/>
      <w:pPr>
        <w:ind w:left="48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80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81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82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8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8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85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48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487" w:hanging="341"/>
      </w:pPr>
      <w:rPr>
        <w:rFonts w:hint="default"/>
        <w:lang w:val="pl-PL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84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84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48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80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81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82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8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8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85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48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487" w:hanging="341"/>
      </w:pPr>
      <w:rPr>
        <w:rFonts w:hint="default"/>
        <w:lang w:val="pl-PL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48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80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81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82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8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8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85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48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487" w:hanging="341"/>
      </w:pPr>
      <w:rPr>
        <w:rFonts w:hint="default"/>
        <w:lang w:val="pl-PL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84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84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48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80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81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82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8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8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85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48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487" w:hanging="341"/>
      </w:pPr>
      <w:rPr>
        <w:rFonts w:hint="default"/>
        <w:lang w:val="pl-PL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84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48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1"/>
      <w:numFmt w:val="decimal"/>
      <w:lvlText w:val="%2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08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139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18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239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28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339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389" w:hanging="341"/>
      </w:pPr>
      <w:rPr>
        <w:rFonts w:hint="default"/>
        <w:lang w:val="pl-PL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482" w:hanging="341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-1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–"/>
      <w:lvlJc w:val="left"/>
      <w:pPr>
        <w:ind w:left="822" w:hanging="341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894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2968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04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117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191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26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340" w:hanging="341"/>
      </w:pPr>
      <w:rPr>
        <w:rFonts w:hint="default"/>
        <w:lang w:val="pl-PL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48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–"/>
      <w:lvlJc w:val="left"/>
      <w:pPr>
        <w:ind w:left="482" w:hanging="341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81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82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8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8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85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48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487" w:hanging="341"/>
      </w:pPr>
      <w:rPr>
        <w:rFonts w:hint="default"/>
        <w:lang w:val="pl-PL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84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482" w:hanging="341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80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81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82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8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8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85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48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487" w:hanging="341"/>
      </w:pPr>
      <w:rPr>
        <w:rFonts w:hint="default"/>
        <w:lang w:val="pl-PL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82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80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81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82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8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8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85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48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487" w:hanging="341"/>
      </w:pPr>
      <w:rPr>
        <w:rFonts w:hint="default"/>
        <w:lang w:val="pl-PL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84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049" w:hanging="3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84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482" w:hanging="341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480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81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82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83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48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85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486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487" w:hanging="341"/>
      </w:pPr>
      <w:rPr>
        <w:rFonts w:hint="default"/>
        <w:lang w:val="pl-PL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106" w:hanging="397"/>
        <w:jc w:val="righ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219" w:hanging="511"/>
        <w:jc w:val="left"/>
      </w:pPr>
      <w:rPr>
        <w:rFonts w:hint="default"/>
        <w:spacing w:val="-1"/>
        <w:w w:val="100"/>
        <w:lang w:val="pl-PL" w:eastAsia="en-US" w:bidi="ar-SA"/>
      </w:rPr>
    </w:lvl>
    <w:lvl w:ilvl="2">
      <w:start w:val="1"/>
      <w:numFmt w:val="decimal"/>
      <w:lvlText w:val="%1.%2.%3"/>
      <w:lvlJc w:val="left"/>
      <w:pPr>
        <w:ind w:left="1332" w:hanging="624"/>
        <w:jc w:val="righ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20"/>
        <w:szCs w:val="20"/>
        <w:lang w:val="pl-PL" w:eastAsia="en-US" w:bidi="ar-SA"/>
      </w:rPr>
    </w:lvl>
    <w:lvl w:ilvl="3">
      <w:start w:val="1"/>
      <w:numFmt w:val="decimal"/>
      <w:lvlText w:val="%1.%2.%3.%4"/>
      <w:lvlJc w:val="left"/>
      <w:pPr>
        <w:ind w:left="709" w:hanging="812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-1"/>
        <w:w w:val="100"/>
        <w:sz w:val="20"/>
        <w:szCs w:val="20"/>
        <w:lang w:val="pl-PL" w:eastAsia="en-US" w:bidi="ar-SA"/>
      </w:rPr>
    </w:lvl>
    <w:lvl w:ilvl="4">
      <w:start w:val="0"/>
      <w:numFmt w:val="bullet"/>
      <w:lvlText w:val="–"/>
      <w:lvlJc w:val="left"/>
      <w:pPr>
        <w:ind w:left="1049" w:hanging="341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220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340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520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4509" w:hanging="341"/>
      </w:pPr>
      <w:rPr>
        <w:rFonts w:hint="default"/>
        <w:lang w:val="pl-PL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1049" w:hanging="341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84" w:hanging="34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29" w:hanging="34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874" w:hanging="34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19" w:hanging="34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64" w:hanging="34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09" w:hanging="34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54" w:hanging="34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99" w:hanging="341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79" w:hanging="737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0"/>
        <w:szCs w:val="20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879" w:hanging="73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-1"/>
        <w:w w:val="100"/>
        <w:sz w:val="20"/>
        <w:szCs w:val="20"/>
        <w:lang w:val="pl-PL" w:eastAsia="en-US" w:bidi="ar-SA"/>
      </w:rPr>
    </w:lvl>
    <w:lvl w:ilvl="2">
      <w:start w:val="1"/>
      <w:numFmt w:val="decimal"/>
      <w:lvlText w:val="%1.%2.%3"/>
      <w:lvlJc w:val="left"/>
      <w:pPr>
        <w:ind w:left="879" w:hanging="737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-1"/>
        <w:w w:val="100"/>
        <w:sz w:val="20"/>
        <w:szCs w:val="20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62" w:hanging="737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723" w:hanging="737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684" w:hanging="737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645" w:hanging="737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606" w:hanging="737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67" w:hanging="737"/>
      </w:pPr>
      <w:rPr>
        <w:rFonts w:hint="default"/>
        <w:lang w:val="pl-PL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l-PL" w:eastAsia="en-US" w:bidi="ar-SA"/>
    </w:rPr>
  </w:style>
  <w:style w:styleId="TOC1" w:type="paragraph">
    <w:name w:val="TOC 1"/>
    <w:basedOn w:val="Normal"/>
    <w:uiPriority w:val="1"/>
    <w:qFormat/>
    <w:pPr>
      <w:spacing w:before="237"/>
      <w:ind w:left="879" w:hanging="737"/>
    </w:pPr>
    <w:rPr>
      <w:rFonts w:ascii="Arial" w:hAnsi="Arial" w:eastAsia="Arial" w:cs="Arial"/>
      <w:b/>
      <w:bCs/>
      <w:sz w:val="20"/>
      <w:szCs w:val="20"/>
      <w:lang w:val="pl-PL" w:eastAsia="en-US" w:bidi="ar-SA"/>
    </w:rPr>
  </w:style>
  <w:style w:styleId="TOC2" w:type="paragraph">
    <w:name w:val="TOC 2"/>
    <w:basedOn w:val="Normal"/>
    <w:uiPriority w:val="1"/>
    <w:qFormat/>
    <w:pPr>
      <w:spacing w:before="10"/>
      <w:ind w:left="879" w:hanging="737"/>
    </w:pPr>
    <w:rPr>
      <w:rFonts w:ascii="Arial MT" w:hAnsi="Arial MT" w:eastAsia="Arial MT" w:cs="Arial MT"/>
      <w:sz w:val="20"/>
      <w:szCs w:val="20"/>
      <w:lang w:val="pl-PL" w:eastAsia="en-US" w:bidi="ar-SA"/>
    </w:rPr>
  </w:style>
  <w:style w:styleId="TOC3" w:type="paragraph">
    <w:name w:val="TOC 3"/>
    <w:basedOn w:val="Normal"/>
    <w:uiPriority w:val="1"/>
    <w:qFormat/>
    <w:pPr>
      <w:spacing w:before="10"/>
      <w:ind w:left="879"/>
    </w:pPr>
    <w:rPr>
      <w:rFonts w:ascii="Arial MT" w:hAnsi="Arial MT" w:eastAsia="Arial MT" w:cs="Arial MT"/>
      <w:sz w:val="20"/>
      <w:szCs w:val="20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13"/>
      <w:ind w:left="709"/>
      <w:outlineLvl w:val="1"/>
    </w:pPr>
    <w:rPr>
      <w:rFonts w:ascii="Arial" w:hAnsi="Arial" w:eastAsia="Arial" w:cs="Arial"/>
      <w:b/>
      <w:bCs/>
      <w:sz w:val="28"/>
      <w:szCs w:val="28"/>
      <w:lang w:val="pl-PL" w:eastAsia="en-US" w:bidi="ar-SA"/>
    </w:rPr>
  </w:style>
  <w:style w:styleId="Heading2" w:type="paragraph">
    <w:name w:val="Heading 2"/>
    <w:basedOn w:val="Normal"/>
    <w:uiPriority w:val="1"/>
    <w:qFormat/>
    <w:pPr>
      <w:ind w:left="142"/>
      <w:outlineLvl w:val="2"/>
    </w:pPr>
    <w:rPr>
      <w:rFonts w:ascii="Arial" w:hAnsi="Arial" w:eastAsia="Arial" w:cs="Arial"/>
      <w:b/>
      <w:bCs/>
      <w:sz w:val="24"/>
      <w:szCs w:val="24"/>
      <w:lang w:val="pl-PL" w:eastAsia="en-US" w:bidi="ar-SA"/>
    </w:rPr>
  </w:style>
  <w:style w:styleId="Heading3" w:type="paragraph">
    <w:name w:val="Heading 3"/>
    <w:basedOn w:val="Normal"/>
    <w:uiPriority w:val="1"/>
    <w:qFormat/>
    <w:pPr>
      <w:ind w:left="1219" w:hanging="510"/>
      <w:outlineLvl w:val="3"/>
    </w:pPr>
    <w:rPr>
      <w:rFonts w:ascii="Arial" w:hAnsi="Arial" w:eastAsia="Arial" w:cs="Arial"/>
      <w:b/>
      <w:bCs/>
      <w:sz w:val="22"/>
      <w:szCs w:val="22"/>
      <w:lang w:val="pl-PL" w:eastAsia="en-US" w:bidi="ar-SA"/>
    </w:rPr>
  </w:style>
  <w:style w:styleId="Heading4" w:type="paragraph">
    <w:name w:val="Heading 4"/>
    <w:basedOn w:val="Normal"/>
    <w:uiPriority w:val="1"/>
    <w:qFormat/>
    <w:pPr>
      <w:ind w:left="142"/>
      <w:outlineLvl w:val="4"/>
    </w:pPr>
    <w:rPr>
      <w:rFonts w:ascii="Arial" w:hAnsi="Arial" w:eastAsia="Arial" w:cs="Arial"/>
      <w:b/>
      <w:bCs/>
      <w:sz w:val="20"/>
      <w:szCs w:val="20"/>
      <w:lang w:val="pl-PL" w:eastAsia="en-US" w:bidi="ar-SA"/>
    </w:rPr>
  </w:style>
  <w:style w:styleId="Title" w:type="paragraph">
    <w:name w:val="Title"/>
    <w:basedOn w:val="Normal"/>
    <w:uiPriority w:val="1"/>
    <w:qFormat/>
    <w:pPr>
      <w:ind w:right="137"/>
      <w:jc w:val="right"/>
    </w:pPr>
    <w:rPr>
      <w:rFonts w:ascii="Arial" w:hAnsi="Arial" w:eastAsia="Arial" w:cs="Arial"/>
      <w:b/>
      <w:bCs/>
      <w:sz w:val="48"/>
      <w:szCs w:val="48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before="180"/>
      <w:ind w:left="482" w:hanging="340"/>
    </w:pPr>
    <w:rPr>
      <w:rFonts w:ascii="Arial MT" w:hAnsi="Arial MT" w:eastAsia="Arial MT" w:cs="Arial MT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yperlink" Target="http://www.pkn.pl/" TargetMode="Externa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hyperlink" Target="http://www.iso.org/directives" TargetMode="External"/><Relationship Id="rId16" Type="http://schemas.openxmlformats.org/officeDocument/2006/relationships/hyperlink" Target="http://www.iso.org/patents" TargetMode="External"/><Relationship Id="rId17" Type="http://schemas.openxmlformats.org/officeDocument/2006/relationships/hyperlink" Target="http://www.iso.org/iso/foreword.html" TargetMode="External"/><Relationship Id="rId18" Type="http://schemas.openxmlformats.org/officeDocument/2006/relationships/hyperlink" Target="http://www.electropedia.org/" TargetMode="External"/><Relationship Id="rId19" Type="http://schemas.openxmlformats.org/officeDocument/2006/relationships/hyperlink" Target="http://www.iso.org/obp" TargetMode="External"/><Relationship Id="rId20" Type="http://schemas.openxmlformats.org/officeDocument/2006/relationships/image" Target="media/image2.png"/><Relationship Id="rId21" Type="http://schemas.openxmlformats.org/officeDocument/2006/relationships/image" Target="media/image3.png"/><Relationship Id="rId22" Type="http://schemas.openxmlformats.org/officeDocument/2006/relationships/image" Target="media/image4.png"/><Relationship Id="rId23" Type="http://schemas.openxmlformats.org/officeDocument/2006/relationships/image" Target="media/image5.png"/><Relationship Id="rId24" Type="http://schemas.openxmlformats.org/officeDocument/2006/relationships/image" Target="media/image6.png"/><Relationship Id="rId25" Type="http://schemas.openxmlformats.org/officeDocument/2006/relationships/image" Target="media/image7.png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header" Target="header5.xml"/><Relationship Id="rId37" Type="http://schemas.openxmlformats.org/officeDocument/2006/relationships/footer" Target="footer5.xml"/><Relationship Id="rId38" Type="http://schemas.openxmlformats.org/officeDocument/2006/relationships/image" Target="media/image18.png"/><Relationship Id="rId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2026-01-19T23:23:55Z</dcterms:created>
  <dcterms:modified xsi:type="dcterms:W3CDTF">2026-01-19T23:23:55Z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2026-01-19T00:00:00Z</vt:filetime>
  </property>
  <property fmtid="{D5CDD505-2E9C-101B-9397-08002B2CF9AE}" pid="3" name="LastSaved">
    <vt:filetime>2026-01-19T00:00:00Z</vt:filetime>
  </property>
  <property fmtid="{D5CDD505-2E9C-101B-9397-08002B2CF9AE}" pid="4" name="Producer">
    <vt:lpwstr>3-Heights™ PDF Merge Split Shell 6.12.1.11 (http://www.pdf-tools.com)</vt:lpwstr>
  </property>
</Properties>
</file>