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Opinia prawna</w:t>
      </w:r>
    </w:p>
    <w:p w:rsidR="00000000" w:rsidDel="00000000" w:rsidP="00000000" w:rsidRDefault="00000000" w:rsidRPr="00000000" w14:paraId="00000002">
      <w:pPr>
        <w:spacing w:after="16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Niniejsza opinia ma na celu określenie, sankcji, jakie grożą za sporządzenie i posłużenie się nierzetelnym świadectwem charakterystyki energetycznej. 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txvzprkszenm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Obowiązek sporządzenia świadectwa energetycznego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Każdy właściciel, sprzedawca lub wynajmujący nieruchomość musi sporządzić świadectwo energetyczne zgodnie z ustawą z dnia 29 sierpnia 2014 r. (Dz.U. 2014 poz. 1196).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brak lub nierzetelne sporządzenie świadectwa grozi grzywna do 5 000 zł.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cre098yr4jh3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Organy uprawnione do nakładania sankcji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Grzywny mogą być nakładane przez: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Policję,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Inspektorów nadzoru budowlanego,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24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Organy samorządu terytorialnego.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pm4xrjd3rvr5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Obowiązek informowania o nierzetelnych świadectwach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Każda osoba, która powzięła wiedzę o nierzetelnym świadectwie, ma obowiązek poinformować odpowiednie organy.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Dotyczy to szczególnie: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Notariuszy, administratorów wspólnot i spółdzielni mieszkaniowych,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Nabywców, sąsiadów lub najemców nieruchomości.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Zaniedbanie tego obowiązku przez notariuszy może prowadzić do odpowiedzialności dyscyplinarnej.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ziha05p2x1td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Skutki grzywny za nierzetelne świadectwo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Niezapłacenie grzywny skutkuje dodatkowymi konsekwencjami: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Naliczeniem odsetek za zwłokę,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Wszczęciem postępowania egzekucyjnego,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24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Ryzykiem pozbawienia wolności w przypadku uporczywego uchylania się od zapłaty.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4n07sdp1div4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Odpowiedzialność odszkodowawcza: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Przedstawienie nierzetelnego świadectwa może prowadzić do odpowiedzialności odszkodowawczej na podstawie: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415 k.c. (czyn niedozwolony),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471 k.c. (nienależyte wykonanie zobowiązania),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361 § 2 k.c. (zakres naprawienia szkody).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Potencjalni poszkodowani: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Nabywcy (za fałszywe dane w świadectwie wpływające na decyzję zakupową),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Najemcy (za wyższe koszty eksploatacyjne),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24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Banki (za decyzje kredytowe oparte na nierzetelnych danych).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958v7r44bifl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Nieważność umowy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Nierzetelne świadectwo może skutkować unieważnieniem umowy na podstawie: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82 k.c. (błąd co do treści czynności prawnej),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86 k.c. (podstęp wprowadzający w błąd).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Dotyczy to: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Umów sprzedaży (istotna wada oświadczenia woli),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Umów najmu (błąd wpływający na decyzję),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24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Umów kredytowych (czynności sprzeczne z ustawą).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9tcxc8lggeab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Wnioski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Przedstawienie nierzetelnego świadectwa wiąże się z poważnym ryzykiem prawnym: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Sankcje finansowe i odszkodowawcze,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Unieważnienie umowy,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240" w:before="0" w:beforeAutospacing="0" w:line="36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Konsekwencje karne.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OPINIA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Kara grzywny za brak świadectwa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Zgodnie z obowiązującymi przepisami prawa, każda osoba będąca właścicielem, sprzedawcą lub wynajmującym nieruchomość ma obowiązek sporządzenia świadectwa charakterystyki energetycznej budynku (tzw. świadectwa energetycznego). Zgodnie z prawem, niezachowanie wymogu sporządzenia świadectwa energetycznego,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lub jego nierzetelne sporządzenie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może prowadzić do nałożenia na sprawcę sankcji finansowych. W szczególności zgodnie z przepisami ustawy z dnia 29 sierpnia 2014 r. o charakterystyce energetycznej budynków (Dz.U. 2014 poz. 1196), za sporządzenie nierzetelnego świadectwa energetycznego grozi grzywna w wysokości do 5 000 zł.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Kto może nałożyć grzywnę?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Zgodnie z przepisami prawa, sankcje te mogą być nakładane przez różne organy, w tym policję, nadzór budowlany oraz organy samorządu terytorialnego. Oznacza to, że grzywnę mogą wymierzyć zarówno lokalne władze, jak i inspektorzy nadzoru budowlanego, w sytuacji wykrycia nieprawidłowości w świadectwie energetycznym.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Kto ma obowiązek poinformować o nierzetelnym świadectwie?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Ponadto obowiązek informowania odpowiednich organów o nierzetelnym świadectwie energetycznym spoczywa na każdej osobie, która powzięła wiedzę o takim fakcie. Przykładowo, sąsiad nieruchomości, nabywca nieruchomości lub najemca mają obowiązek poinformowania odpowiednich służb, jeżeli zauważą, że świadectwo energetyczne zostało sporządzone w sposób nierzetelny. Również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Kodeks Etyki Notariuszy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obliguje przedstawicieli tej profesji do współpracy z organami państwowymi w zakresie ochrony porządku prawnego.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 więcej, niektóre podmioty, ze względu na swoją funkcję lub status prawny, mają szczególny obowiązek informowania organów o nierzetelnych świadectwach energetycznych. Dotyczy to w szczególności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notariuszy, administratorów i zarządów wspólnot mieszkaniowych, a także administratorów i zarządów spółdzielni mieszkaniowych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Jeżeli takie osoby powzięły wiedzę o nierzetelnym świadectwie energetycznym,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są one zobowiązane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do zgłoszenia tego faktu organom odpowiedzialnym za kontrolowanie zgodności z przepisami prawa.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Kodeks Etyki Zawodowej Notariuszy podkreśla, że notariusze, jako osoby pełniące funkcję zaufania publicznego, mają obowiązek zachowania szczególnej staranności w wykonywaniu czynności notarialnych. W myśl § 2 Kodeksu notariusz ma działać zgodnie z prawem, w interesie stron, oraz w sposób zapobiegający naruszeniom prawa. W przypadku powzięcia informacji o nierzetelnym świadectwie energetycznym w trakcie czynności notarialnych notariusz ma obowiązek poinformować o tym fakcie odpowiednie organy administracji publicznej. Zaniedbanie tego obowiązku mogłoby zostać uznane za naruszenie zasad etyki zawodowej. Kodeks Etyki Notariuszy w § 6 zobowiązuje ponadto notariuszy do informowania stron o skutkach prawnych związanych z ich działaniami oraz do przeciwdziałania naruszeniom prawa. Oznacza to, że notariusz, który powziął wiedzę o nierzetelnym świadectwie energetycznym, powinien bezzwłocznie przekazać tę informację właściwym organom nadzoru. Zaniedbanie tego obowiązku może nie tylko narazić notariusza na odpowiedzialność dyscyplinarną, ale również podważyć zaufanie publiczne do jego działalności.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Skutki grzywny za nierzetelne świadectwo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Należy podkreślić, że skutki niewypełnienia obowiązku zapłaty nałożonej grzywny mogą być bardzo poważne. W przypadku niezapłacenia grzywny w terminie osoba ukarana może ponieść dodatkowe konsekwencje, takie jak ryzyko nałożenia odsetek za zwłokę, a także rozpoczęcia egzekucji komorniczej z majątku osoby zobowiązanej do zapłaty. Ponadto, w przypadku uporczywego uchylania się od zapłaty, możliwe jest nawet pozbawienie wolności w ramach kary za niewykonanie nałożonego obowiązku. Takie ryzyko, w połączeniu z kosztami postępowania egzekucyjnego, może prowadzić do poważnych negatywnych skutków finansowych, które mogą wpłynąć na sytuację majątkową sprawcy.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Podsumowując, zarówno sporządzenie nierzetelnego świadectwa energetycznego, jak i uchylanie się od zapłaty nałożonej grzywny, mogą prowadzić do poważnych konsekwencji prawnych, w tym ryzyka finansowego oraz odpowiedzialności karnej. W związku z tym, właściciele, sprzedawcy, wynajmujący nieruchomości oraz inne osoby mające styczność z nierzetelnymi świadectwami energetycznymi powinny zachować szczególną staranność przy ich sporządzaniu, oraz bezzwłocznie informować właściwe organy o ewentualnych nieprawidłowościach.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Odszkodowanie</w:t>
      </w:r>
    </w:p>
    <w:p w:rsidR="00000000" w:rsidDel="00000000" w:rsidP="00000000" w:rsidRDefault="00000000" w:rsidRPr="00000000" w14:paraId="00000045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przedstawienia nabywcy nieruchomości, najemcy lub innemu podmiotowi nierzetelnego świadectwa charakterystyki energetycznej, istnieje wysokie ryzyko odpowiedzialności odszkodowawczej zarówno dla właściciela nieruchomości, jak i osoby sporządzającej taki dokument. Odpowiedzialność ta znajduje oparcie w przepisach Kodeksu cywilnego, które regulują kwestie naprawienia szkody wyrządzonej czynem niedozwolonym oraz niewykonaniem lub nienależytym wykonaniem zobowiązania.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Podstawę prawną mogą stanowić w szczególności następujące przepisy: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415 k.c.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"Kto z winy swojej wyrządził drugiemu szkodę, obowiązany jest do jej naprawienia." Osoba sporządzająca nierzetelne świadectwo może zostać uznana za winną wyrządzenia szkody, jeśli okaże się, że świadectwo zostało sporządzone z naruszeniem zasad należytej staranności.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471 k.c.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"Dłużnik obowiązany jest do naprawienia szkody wynikłej z niewykonania lub nienależytego wykonania zobowiązania, chyba że niewykonanie lub nienależyte wykonanie jest następstwem okoliczności, za które dłużnik odpowiedzialności nie ponosi." W przypadku umowy na sporządzenie świadectwa, nierzetelność dokumentu może być traktowana jako nienależyte wykonanie zobowiązania, co otwiera drogę do roszczeń odszkodowawczych.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Art. 361 § 2 k.c.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"Naprawienie szkody obejmuje straty, które poszkodowany poniósł, oraz korzyści, które mógłby osiągnąć, gdyby mu szkody nie wyrządzono." W związku z tym odszkodowanie może obejmować zarówno bezpośrednie straty (np. wyższe koszty użytkowania nieruchomości), jak i utracone korzyści (np. koszty dodatkowych prac modernizacyjnych).</w:t>
      </w:r>
    </w:p>
    <w:p w:rsidR="00000000" w:rsidDel="00000000" w:rsidP="00000000" w:rsidRDefault="00000000" w:rsidRPr="00000000" w14:paraId="0000004A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świetle powyższych regulacji: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Nabywca nieruchomości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może żądać odszkodowania, jeśli rzeczywiste parametry energetyczne nieruchomości odbiegają od deklarowanych w świadectwie, co wpłynęło na jego decyzję zakupową.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Najemca nieruchomości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może wystąpić z roszczeniem w związku z wyższymi kosztami eksploatacyjnymi, które wynikają z faktycznego stanu nieruchomości.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który na podstawie nierzetelnego świadectwa udzielił kredytu hipotecznego, może domagać się naprawienia szkody, jeśli wadliwa dokumentacja wpłynęła na decyzję kredytową i naraziła bank na straty.</w:t>
      </w:r>
    </w:p>
    <w:p w:rsidR="00000000" w:rsidDel="00000000" w:rsidP="00000000" w:rsidRDefault="00000000" w:rsidRPr="00000000" w14:paraId="0000004E">
      <w:pPr>
        <w:spacing w:after="240" w:before="240" w:line="360" w:lineRule="auto"/>
        <w:ind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Podkreślamy, że odpowiedzialność odszkodowawcza dotyczy zarówno osoby sporządzającej świadectwo, jak i właściciela nieruchomości, jeżeli wiedział lub mógł wiedzieć o nierzetelności dokumentu. Aby uniknąć takiego ryzyka, rekomenduje się ścisłe przestrzeganie wymogów prawnych przy sporządzaniu świadectwa energetycznego oraz korzystanie z usług wyłącznie certyfikowanych specjalistów.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Nieważność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sytuacji, gdy właściciel nieruchomości przedstawi nabywcy, najemcy lub innemu podmiotowi nierzetelne świadectwo charakterystyki energetycznej, istnieje ryzyko poważnych konsekwencji prawnych. Zgodnie z przepisami Kodeksu cywilnego, dostarczenie fałszywego lub niezgodnego z rzeczywistością dokumentu, który był podstawą zawarcia umowy, może prowadzić do jej unieważnienia.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umvl0nbvgw2i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Podstawa prawna unieważnienia umowy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Zgodnie z art. 82 Kodeksu cywilnego, czynność prawna dokonana pod wpływem błędu co do treści czynności prawnej jest nieważna, jeśli błąd został wywołany przez drugą stronę, nawet nieumyślnie, lub gdy strona wiedziała o błędzie drugiej strony i nie poinformowała jej o rzeczywistym stanie rzeczy. W przypadku świadectwa energetycznego, jeżeli dokument zawierał nierzetelne dane, a nabywca lub najemca podjął decyzję w oparciu o te informacje, można uznać, że błąd dotyczył treści czynności prawnej.</w:t>
      </w:r>
    </w:p>
    <w:p w:rsidR="00000000" w:rsidDel="00000000" w:rsidP="00000000" w:rsidRDefault="00000000" w:rsidRPr="00000000" w14:paraId="00000053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 kolei art. 86 Kodeksu cywilnego mówi o podstępie: "Jeżeli jedna ze stron umowy celowo wprowadziła drugą w błąd, ukrywając rzeczywisty stan rzeczy, czynność prawna może zostać unieważniona na podstawie przesłanek wynikających z tego przepisu." Jeśli nierzetelne świadectwo zostało sporządzone z intencją wprowadzenia w błąd, zastosowanie znajdzie właśnie ta regulacja.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rmjwrj8o884m" w:id="8"/>
      <w:bookmarkEnd w:id="8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Konsekwencje dla różnych umów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Umowa sprzedaży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W przypadku sprzedaży nieruchomości, nierzetelne świadectwo energetyczne może stanowić istotną wadę oświadczenia woli (art. 84 k.c.). Nabywca może żądać unieważnienia umowy, jeżeli wykaże, że świadectwo miało kluczowe znaczenie dla podjęcia decyzji o zakupie.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Umowa najmu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Art. 87 k.c. przewiduje, że czynność prawna dokonana pod wpływem błędu lub groźby może zostać unieważniona, jeśli druga strona wiedziała o okolicznościach wpływających na decyzję najemcy. Nierzetelne świadectwo może zostać uznane za taką okoliczność.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Umowa kredytowa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W przypadku umowy kredytowej, jeżeli bank podjął decyzję na podstawie nierzetelnego świadectwa energetycznego, zastosowanie znajdzie art. 58 § 1 k.c., który mówi o nieważności czynności prawnych sprzecznych z ustawą lub mających na celu obejście prawa.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ecqvk62c6k1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18rq9hx47oih" w:id="10"/>
      <w:bookmarkEnd w:id="1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Wnioski</w:t>
      </w:r>
    </w:p>
    <w:p w:rsidR="00000000" w:rsidDel="00000000" w:rsidP="00000000" w:rsidRDefault="00000000" w:rsidRPr="00000000" w14:paraId="0000005A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Przedstawienie nierzetelnego świadectwa energetycznego niesie ryzyko unieważnienia umowy na podstawie art. 82-87 Kodeksu cywilnego, zależnie od okoliczności sprawy. Należy pamiętać, że w takich przypadkach kluczowe jest udowodnienie związku między treścią nierzetelnego dokumentu a podjęciem decyzji przez drugą stronę umowy. Warto również wskazać, że unieważnienie umowy może prowadzić do konieczności zwrotu wzajemnych świadczeń, co dodatkowo zwiększa ryzyko prawne i finansowe dla osoby posługującej się nierzetelnym dokumentem.</w:t>
      </w:r>
    </w:p>
    <w:p w:rsidR="00000000" w:rsidDel="00000000" w:rsidP="00000000" w:rsidRDefault="00000000" w:rsidRPr="00000000" w14:paraId="0000005B">
      <w:pPr>
        <w:spacing w:after="16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360" w:lineRule="auto"/>
        <w:ind w:left="576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538288" cy="84803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848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46" w:top="1668" w:left="1395" w:right="1421" w:header="426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26-600 Radom, ul. Giserska 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tel. 602-163-882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e-mail: kancelaria@pewnylokal.pl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26-600 Radom, ul. Giserska 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tel. 602-163-882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17"/>
        <w:szCs w:val="17"/>
        <w:u w:val="none"/>
        <w:shd w:fill="auto" w:val="clear"/>
        <w:vertAlign w:val="baseline"/>
        <w:rtl w:val="0"/>
      </w:rPr>
      <w:tab/>
      <w:t xml:space="preserve">e-mail: kancelaria@pewnylokal.pl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28"/>
        <w:szCs w:val="28"/>
        <w:u w:val="none"/>
        <w:shd w:fill="auto" w:val="clear"/>
        <w:vertAlign w:val="baseline"/>
        <w:rtl w:val="0"/>
      </w:rPr>
      <w:t xml:space="preserve">K a n c e l a r i a  A d w o k a c k 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28"/>
        <w:szCs w:val="28"/>
        <w:u w:val="none"/>
        <w:shd w:fill="auto" w:val="clear"/>
        <w:vertAlign w:val="baseline"/>
        <w:rtl w:val="0"/>
      </w:rPr>
      <w:t xml:space="preserve">Dr Piotr Semeniuk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0</wp:posOffset>
              </wp:positionV>
              <wp:extent cx="419608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247960" y="3776825"/>
                        <a:ext cx="4196080" cy="635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17365D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0</wp:posOffset>
              </wp:positionV>
              <wp:extent cx="419608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60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17365d"/>
        <w:sz w:val="24"/>
        <w:szCs w:val="24"/>
        <w:u w:val="none"/>
        <w:shd w:fill="auto" w:val="clear"/>
        <w:vertAlign w:val="baseline"/>
        <w:rtl w:val="0"/>
      </w:rPr>
      <w:t xml:space="preserve">Adwokat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8864600</wp:posOffset>
              </wp:positionV>
              <wp:extent cx="419608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247960" y="3776825"/>
                        <a:ext cx="4196080" cy="635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17365D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8864600</wp:posOffset>
              </wp:positionV>
              <wp:extent cx="419608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60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